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EB" w:rsidRDefault="004E2D88">
      <w:pPr>
        <w:widowControl w:val="0"/>
        <w:spacing w:line="276" w:lineRule="auto"/>
        <w:ind w:left="-992" w:right="-837"/>
        <w:jc w:val="center"/>
        <w:rPr>
          <w:rFonts w:ascii="Arial" w:eastAsia="Arial" w:hAnsi="Arial" w:cs="Arial"/>
          <w:b/>
          <w:color w:val="000000"/>
          <w:sz w:val="22"/>
          <w:szCs w:val="22"/>
        </w:rPr>
      </w:pPr>
      <w:r>
        <w:rPr>
          <w:rFonts w:ascii="Arial" w:eastAsia="Arial" w:hAnsi="Arial" w:cs="Arial"/>
          <w:b/>
          <w:color w:val="000000"/>
          <w:sz w:val="22"/>
          <w:szCs w:val="22"/>
        </w:rPr>
        <w:t>ANEXO I</w:t>
      </w:r>
    </w:p>
    <w:p w:rsidR="007204EB" w:rsidRDefault="004E2D88">
      <w:pPr>
        <w:pBdr>
          <w:top w:val="nil"/>
          <w:left w:val="nil"/>
          <w:bottom w:val="nil"/>
          <w:right w:val="nil"/>
          <w:between w:val="nil"/>
        </w:pBdr>
        <w:spacing w:line="276" w:lineRule="auto"/>
        <w:ind w:left="-992" w:right="-837"/>
        <w:jc w:val="center"/>
        <w:rPr>
          <w:rFonts w:ascii="Arial" w:eastAsia="Arial" w:hAnsi="Arial" w:cs="Arial"/>
          <w:b/>
          <w:sz w:val="22"/>
          <w:szCs w:val="22"/>
        </w:rPr>
      </w:pPr>
      <w:r>
        <w:rPr>
          <w:rFonts w:ascii="Arial" w:eastAsia="Arial" w:hAnsi="Arial" w:cs="Arial"/>
          <w:b/>
          <w:color w:val="000000"/>
          <w:sz w:val="22"/>
          <w:szCs w:val="22"/>
        </w:rPr>
        <w:t>TERMO DE F</w:t>
      </w:r>
      <w:r>
        <w:rPr>
          <w:rFonts w:ascii="Arial" w:eastAsia="Arial" w:hAnsi="Arial" w:cs="Arial"/>
          <w:b/>
          <w:sz w:val="22"/>
          <w:szCs w:val="22"/>
        </w:rPr>
        <w:t>OMENTO 202XTRXXXXXX</w:t>
      </w:r>
    </w:p>
    <w:p w:rsidR="007204EB" w:rsidRDefault="004E2D88">
      <w:pPr>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Processo XXX XXX/202X</w:t>
      </w:r>
    </w:p>
    <w:p w:rsidR="007204EB" w:rsidRDefault="007204EB">
      <w:pPr>
        <w:pBdr>
          <w:top w:val="nil"/>
          <w:left w:val="nil"/>
          <w:bottom w:val="nil"/>
          <w:right w:val="nil"/>
          <w:between w:val="nil"/>
        </w:pBdr>
        <w:spacing w:line="276" w:lineRule="auto"/>
        <w:ind w:left="-992" w:right="-837"/>
        <w:rPr>
          <w:rFonts w:ascii="Arial" w:eastAsia="Arial" w:hAnsi="Arial" w:cs="Arial"/>
          <w:color w:val="FF0000"/>
          <w:sz w:val="22"/>
          <w:szCs w:val="22"/>
        </w:rPr>
      </w:pPr>
    </w:p>
    <w:p w:rsidR="007204EB" w:rsidRDefault="004E2D88">
      <w:pPr>
        <w:widowControl w:val="0"/>
        <w:spacing w:line="276" w:lineRule="auto"/>
        <w:ind w:left="2976" w:right="-857"/>
        <w:jc w:val="both"/>
        <w:rPr>
          <w:rFonts w:ascii="Arial" w:eastAsia="Arial" w:hAnsi="Arial" w:cs="Arial"/>
          <w:color w:val="000000"/>
          <w:sz w:val="22"/>
          <w:szCs w:val="22"/>
        </w:rPr>
      </w:pPr>
      <w:r>
        <w:rPr>
          <w:rFonts w:ascii="Arial" w:eastAsia="Arial" w:hAnsi="Arial" w:cs="Arial"/>
          <w:sz w:val="22"/>
          <w:szCs w:val="22"/>
        </w:rPr>
        <w:t>TERMO DE FOMENTO QUE ENTRE SI CELEBRAM O ESTADO DE SANTA CATARINA, POR INTERMÉDIO DA SECRETARIA DE ESTADO DA ASSISTÊNCIA SOCIAL, MULHER E FAMÍLIA - SAS,</w:t>
      </w:r>
      <w:r>
        <w:rPr>
          <w:rFonts w:ascii="Arial" w:eastAsia="Arial" w:hAnsi="Arial" w:cs="Arial"/>
          <w:i/>
          <w:sz w:val="22"/>
          <w:szCs w:val="22"/>
        </w:rPr>
        <w:t xml:space="preserve"> </w:t>
      </w:r>
      <w:r>
        <w:rPr>
          <w:rFonts w:ascii="Arial" w:eastAsia="Arial" w:hAnsi="Arial" w:cs="Arial"/>
          <w:sz w:val="22"/>
          <w:szCs w:val="22"/>
        </w:rPr>
        <w:t>E A ORGANIZAÇÃO DA SOCIEDADE CIVIL DENOMINADA [NOME DA OSC], PARA OS FINS QUE ESPECIFICA.</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spacing w:line="276" w:lineRule="auto"/>
        <w:ind w:left="-992" w:right="-857"/>
        <w:jc w:val="both"/>
        <w:rPr>
          <w:rFonts w:ascii="Arial" w:eastAsia="Arial" w:hAnsi="Arial" w:cs="Arial"/>
          <w:sz w:val="22"/>
          <w:szCs w:val="22"/>
        </w:rPr>
      </w:pPr>
      <w:r>
        <w:rPr>
          <w:rFonts w:ascii="Arial" w:eastAsia="Arial" w:hAnsi="Arial" w:cs="Arial"/>
          <w:sz w:val="22"/>
          <w:szCs w:val="22"/>
        </w:rPr>
        <w:t xml:space="preserve">O Estado de Santa Catarina, por meio da </w:t>
      </w:r>
      <w:r>
        <w:rPr>
          <w:rFonts w:ascii="Arial" w:eastAsia="Arial" w:hAnsi="Arial" w:cs="Arial"/>
          <w:b/>
          <w:sz w:val="22"/>
          <w:szCs w:val="22"/>
        </w:rPr>
        <w:t>SECRETARIA DE ESTADO DA ASSISTÊNCIA SOCIAL, MULHER E FAMÍLIA -SAS,</w:t>
      </w:r>
      <w:r>
        <w:rPr>
          <w:rFonts w:ascii="Arial" w:eastAsia="Arial" w:hAnsi="Arial" w:cs="Arial"/>
          <w:sz w:val="22"/>
          <w:szCs w:val="22"/>
        </w:rPr>
        <w:t xml:space="preserve"> inscrita no CNPJ sob o n° 05.509.770.0001-88, doravante denominada </w:t>
      </w:r>
      <w:r>
        <w:rPr>
          <w:rFonts w:ascii="Arial" w:eastAsia="Arial" w:hAnsi="Arial" w:cs="Arial"/>
          <w:b/>
          <w:sz w:val="22"/>
          <w:szCs w:val="22"/>
        </w:rPr>
        <w:t>CONCEDENTE</w:t>
      </w:r>
      <w:r>
        <w:rPr>
          <w:rFonts w:ascii="Arial" w:eastAsia="Arial" w:hAnsi="Arial" w:cs="Arial"/>
          <w:sz w:val="22"/>
          <w:szCs w:val="22"/>
        </w:rPr>
        <w:t xml:space="preserve">, com sede na Rua Dr. Fúlvio Aducci, 767, Estreito, no Município Florianópolis/SC, CEP: 88.075-001, neste ato representado pela Secretária de Estado, a Sra. Adeliana Dal Pont, portadora do CPF n° 445.XXX.XXX- e a [nome da OSC], organização da sociedade civil, inscrita no CNPJ sob o nº XXX.XXX.XXXX-XX doravante denominada </w:t>
      </w:r>
      <w:r>
        <w:rPr>
          <w:rFonts w:ascii="Arial" w:eastAsia="Arial" w:hAnsi="Arial" w:cs="Arial"/>
          <w:b/>
          <w:sz w:val="22"/>
          <w:szCs w:val="22"/>
        </w:rPr>
        <w:t>PARCEIRA</w:t>
      </w:r>
      <w:r>
        <w:rPr>
          <w:rFonts w:ascii="Arial" w:eastAsia="Arial" w:hAnsi="Arial" w:cs="Arial"/>
          <w:sz w:val="22"/>
          <w:szCs w:val="22"/>
        </w:rPr>
        <w:t>, situada à [endereço da OSC], neste ato representada pelo(a) seu(sua) Presidente, [nome do(a) Presidente da OSC]</w:t>
      </w:r>
      <w:r>
        <w:rPr>
          <w:rFonts w:ascii="Arial" w:eastAsia="Arial" w:hAnsi="Arial" w:cs="Arial"/>
          <w:b/>
          <w:sz w:val="22"/>
          <w:szCs w:val="22"/>
        </w:rPr>
        <w:t xml:space="preserve">, </w:t>
      </w:r>
      <w:r>
        <w:rPr>
          <w:rFonts w:ascii="Arial" w:eastAsia="Arial" w:hAnsi="Arial" w:cs="Arial"/>
          <w:sz w:val="22"/>
          <w:szCs w:val="22"/>
        </w:rPr>
        <w:t xml:space="preserve">[CPF do(a) Presidente da OSC].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RESOLVEM celebrar o presente TERMO DE FOMENTO, decorrente do Edital de Chamamento Público nº 00X, de XXXX de XXX de 202X , tendo em vista o que consta do Processo nº XXXX/202X e em observância às disposições da Lei nº 13.019, de 31 de julho de 2014, e do Decreto nº 1.196, de 21 de junho de 2017, e sujeitando-se, no que couber, às normas já referidas bem como ao Plano Plurianual, à Lei de Diretrizes Orçamentárias, e às demais normas específicas em vigor, mediante as cláusulas e condições a seguir enunciadas:</w:t>
      </w:r>
    </w:p>
    <w:p w:rsidR="007204EB" w:rsidRDefault="007204EB">
      <w:pPr>
        <w:spacing w:line="276" w:lineRule="auto"/>
        <w:ind w:left="-992" w:right="-837"/>
        <w:jc w:val="both"/>
        <w:rPr>
          <w:rFonts w:ascii="Arial" w:eastAsia="Arial" w:hAnsi="Arial" w:cs="Arial"/>
          <w:b/>
          <w:color w:val="FF0000"/>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PRIMEIRA – DO OBJETO E DA FINALIDADE</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O objeto do presente Termo de Fomento é [descrição e finalidade do objeto e suas especificações necessárias e suficientes], conforme especificações estabelecidas no plano de trabalho em Anexo e suas alterações, parte integrante e indissociável deste este instrumento.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SEGUNDA - DO PLANO DE TRABALHO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Para o alcance do objeto pactuado, os partícipes se obrigam a cumprir o plano de trabalho que, independente de transcrição, é parte integrante e indissociável do presente Termo de Fomento, bem como toda documentação técnica que dele resulte, cujos dados neles contidos acatam os partícipes.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highlight w:val="white"/>
        </w:rPr>
        <w:t>Subcláusula Única</w:t>
      </w:r>
      <w:r>
        <w:rPr>
          <w:rFonts w:ascii="Arial" w:eastAsia="Arial" w:hAnsi="Arial" w:cs="Arial"/>
          <w:sz w:val="22"/>
          <w:szCs w:val="22"/>
          <w:highlight w:val="white"/>
        </w:rPr>
        <w:t>.</w:t>
      </w:r>
      <w:r>
        <w:rPr>
          <w:rFonts w:ascii="Arial" w:eastAsia="Arial" w:hAnsi="Arial" w:cs="Arial"/>
          <w:sz w:val="22"/>
          <w:szCs w:val="22"/>
        </w:rPr>
        <w:t xml:space="preserve"> As alterações do plano de trabalho devem ser precedidas de justificativa, cabendo, por certidão de apostilamento, o remanejamento de despesas e </w:t>
      </w:r>
      <w:r>
        <w:rPr>
          <w:rFonts w:ascii="Arial" w:eastAsia="Arial" w:hAnsi="Arial" w:cs="Arial"/>
          <w:sz w:val="22"/>
          <w:szCs w:val="22"/>
          <w:highlight w:val="white"/>
        </w:rPr>
        <w:t>a autorização de utilização do saldo existente após a execução do plano de trabalho, permitida quando necessária à execução do objeto e ao alcance dos resultados esperados, conforme incisos III e V do art. 31 do Decreto nº 1.196, de 2017, nos</w:t>
      </w:r>
      <w:r>
        <w:rPr>
          <w:rFonts w:ascii="Arial" w:eastAsia="Arial" w:hAnsi="Arial" w:cs="Arial"/>
          <w:sz w:val="22"/>
          <w:szCs w:val="22"/>
        </w:rPr>
        <w:t xml:space="preserve"> demais casos, as alterações deverão ocorrer por meio de termo aditivo. Nos casos omissos se aplicará subsidiariamente a Lei 14.133/2022.</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TERCEIRA – DO PRAZO DE VIGÊNCIA</w:t>
      </w:r>
    </w:p>
    <w:p w:rsidR="007204EB" w:rsidRDefault="007204EB">
      <w:pPr>
        <w:spacing w:line="276" w:lineRule="auto"/>
        <w:ind w:left="-992" w:right="-837"/>
        <w:jc w:val="both"/>
        <w:rPr>
          <w:rFonts w:ascii="Arial" w:eastAsia="Arial" w:hAnsi="Arial" w:cs="Arial"/>
          <w:b/>
          <w:sz w:val="22"/>
          <w:szCs w:val="22"/>
          <w:highlight w:val="white"/>
        </w:rPr>
      </w:pPr>
    </w:p>
    <w:p w:rsidR="007204EB" w:rsidRDefault="004E2D88">
      <w:pPr>
        <w:widowControl w:val="0"/>
        <w:spacing w:line="276" w:lineRule="auto"/>
        <w:ind w:left="-992" w:right="-857"/>
        <w:jc w:val="both"/>
        <w:rPr>
          <w:rFonts w:ascii="Arial" w:eastAsia="Arial" w:hAnsi="Arial" w:cs="Arial"/>
          <w:sz w:val="22"/>
          <w:szCs w:val="22"/>
        </w:rPr>
      </w:pPr>
      <w:r>
        <w:rPr>
          <w:rFonts w:ascii="Arial" w:eastAsia="Arial" w:hAnsi="Arial" w:cs="Arial"/>
          <w:sz w:val="22"/>
          <w:szCs w:val="22"/>
          <w:highlight w:val="white"/>
        </w:rPr>
        <w:t>O prazo de vigência deste Termo de Fomento será de [inserir o prazo de vigência da parceria, cujo término deverá ser fixado de acordo com a data limite para a conclusão da última etapa da execução do objeto, limitada ao prazo máximo de 5 anos],</w:t>
      </w:r>
      <w:r>
        <w:rPr>
          <w:rFonts w:ascii="Arial" w:eastAsia="Arial" w:hAnsi="Arial" w:cs="Arial"/>
          <w:sz w:val="22"/>
          <w:szCs w:val="22"/>
        </w:rPr>
        <w:t xml:space="preserve"> a partir da data da publicação do extrato deste instrumento no Diário Oficial do Estado (DOESC), podendo ser prorrogado nos casos e condições previstos no artigo 55 da Lei nº 13.019, de 2014, § 3º do art. 31, e art. 32 do Decreto nº 1.196, de 2017.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 prorrogação de ofício da vigência deve ser realizada antes da extinção da parceria, quando a Administração Pública Estadual der causa ao atraso no repasse dos recursos financeiros, limitada ao exato período do atraso verificado.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QUARTA – DOS RECURSOS FINANCEIROS</w:t>
      </w:r>
    </w:p>
    <w:p w:rsidR="007204EB" w:rsidRDefault="007204EB">
      <w:pPr>
        <w:spacing w:line="276" w:lineRule="auto"/>
        <w:ind w:left="-992" w:right="-837"/>
        <w:jc w:val="both"/>
        <w:rPr>
          <w:rFonts w:ascii="Arial" w:eastAsia="Arial" w:hAnsi="Arial" w:cs="Arial"/>
          <w:b/>
          <w:sz w:val="22"/>
          <w:szCs w:val="22"/>
        </w:rPr>
      </w:pP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 xml:space="preserve">Para a execução do objeto, serão disponibilizados recursos em conta bancária específica ativada pela Parceira no valor total de [inserir o valor que será repassado, numericamente e por extenso], à conta da ação orçamentária [inserir a especificação da ação orçamentária], [inserir o elemento de despesa], [inserir a unidade gestora], [inserir a fonte], [inserir a subação], [inserir o número e data da nota de empenho], conforme cronograma de desembolso da nota de empenho, e observando-se o disposto no art. 34 do Decreto nº 1.196, de 2017. </w:t>
      </w:r>
    </w:p>
    <w:p w:rsidR="007204EB" w:rsidRDefault="004E2D88">
      <w:pPr>
        <w:shd w:val="clear" w:color="auto" w:fill="FFFFFF"/>
        <w:spacing w:line="276" w:lineRule="auto"/>
        <w:ind w:left="-992" w:right="-837"/>
        <w:jc w:val="both"/>
        <w:rPr>
          <w:rFonts w:ascii="Arial" w:eastAsia="Arial" w:hAnsi="Arial" w:cs="Arial"/>
          <w:sz w:val="22"/>
          <w:szCs w:val="22"/>
          <w:highlight w:val="white"/>
        </w:rPr>
      </w:pPr>
      <w:r>
        <w:rPr>
          <w:rFonts w:ascii="Arial" w:eastAsia="Arial" w:hAnsi="Arial" w:cs="Arial"/>
          <w:sz w:val="22"/>
          <w:szCs w:val="22"/>
          <w:highlight w:val="white"/>
        </w:rPr>
        <w:t xml:space="preserve">[Poderá ser acrescida eventual contrapartida, prestada pela OSC, nos termos do artigo 35, do Decreto Estadual nº 1.196/2017]. </w:t>
      </w:r>
    </w:p>
    <w:p w:rsidR="007204EB" w:rsidRDefault="007204EB">
      <w:pPr>
        <w:shd w:val="clear" w:color="auto" w:fill="FFFFFF"/>
        <w:spacing w:line="276" w:lineRule="auto"/>
        <w:ind w:left="-992" w:right="-837"/>
        <w:jc w:val="both"/>
        <w:rPr>
          <w:rFonts w:ascii="Arial" w:eastAsia="Arial" w:hAnsi="Arial" w:cs="Arial"/>
          <w:sz w:val="22"/>
          <w:szCs w:val="22"/>
          <w:highlight w:val="white"/>
        </w:rPr>
      </w:pP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xml:space="preserve"> A OSC deverá ativar a conta bancária específica da parceria, no prazo de 5 (cinco) dias úteis, contados da data da publicação do extrato do termo no DOE, mediante apresentação de cópia do termo de fomento, da publicação do seu extrato no DOE, e dos documentos cadastrais exigidos pela instituição financeira, assinatura do termo de autorização de aplicação financeira em fundo de curto prazo, de baixo risco, lastreado em títulos da dívida pública, e, termo de autorização de fornecimento, ao Estado e ao TCE, de informações sobre a movimentação financeira da conta-corrente.</w:t>
      </w:r>
    </w:p>
    <w:p w:rsidR="007204EB" w:rsidRDefault="007204EB">
      <w:pPr>
        <w:shd w:val="clear" w:color="auto" w:fill="FFFFFF"/>
        <w:spacing w:line="276" w:lineRule="auto"/>
        <w:ind w:left="-992" w:right="-837"/>
        <w:jc w:val="both"/>
        <w:rPr>
          <w:rFonts w:ascii="Arial" w:eastAsia="Arial" w:hAnsi="Arial" w:cs="Arial"/>
          <w:sz w:val="22"/>
          <w:szCs w:val="22"/>
        </w:rPr>
      </w:pP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Os recursos para investimento referentes ao repasse de exercícios futuros estão consignados no Plano Plurianual ou previstos em lei que as autorize.</w:t>
      </w:r>
    </w:p>
    <w:p w:rsidR="007204EB" w:rsidRDefault="007204EB">
      <w:pPr>
        <w:shd w:val="clear" w:color="auto" w:fill="FFFFFF"/>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trike/>
          <w:sz w:val="22"/>
          <w:szCs w:val="22"/>
        </w:rPr>
      </w:pPr>
      <w:r>
        <w:rPr>
          <w:rFonts w:ascii="Arial" w:eastAsia="Arial" w:hAnsi="Arial" w:cs="Arial"/>
          <w:b/>
          <w:sz w:val="22"/>
          <w:szCs w:val="22"/>
        </w:rPr>
        <w:t>CLÁUSULA QUINTA – DA RETENÇÃO DO REPASSE DE RECURSOS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 xml:space="preserve">As parcelas de recursos transferidos no âmbito da parceria serão retidas nos casos previstos no art. 48 da Lei federal nº 13.019, de 2014, e quando houver 3 (três) repasses pendentes de apresentação e recebimento da prestação de contas;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color w:val="FF0000"/>
          <w:sz w:val="22"/>
          <w:szCs w:val="22"/>
        </w:rPr>
      </w:pPr>
      <w:r>
        <w:rPr>
          <w:rFonts w:ascii="Arial" w:eastAsia="Arial" w:hAnsi="Arial" w:cs="Arial"/>
          <w:b/>
          <w:sz w:val="22"/>
          <w:szCs w:val="22"/>
        </w:rPr>
        <w:t>CLÁUSULA SEXTA – DA MOVIMENTAÇÃO DOS RECURSOS FINANCEIROS</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A OSC deverá manter os recursos na conta bancária específica da parceria e movimentar os recursos somente para pagamento de despesas previstas no plano de trabalho, na forma admitida no termo de fomento, e para aplicação financeira.</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Primeira. </w:t>
      </w:r>
      <w:r>
        <w:rPr>
          <w:rFonts w:ascii="Arial" w:eastAsia="Arial" w:hAnsi="Arial" w:cs="Arial"/>
          <w:sz w:val="22"/>
          <w:szCs w:val="22"/>
        </w:rPr>
        <w:t>Os recursos, enquanto não utilizados em sua finalidade, serão empregados em aplicação financeira de curto prazo e baixo risco.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Segunda. </w:t>
      </w:r>
      <w:r>
        <w:rPr>
          <w:rFonts w:ascii="Arial" w:eastAsia="Arial" w:hAnsi="Arial" w:cs="Arial"/>
          <w:color w:val="000000"/>
          <w:sz w:val="22"/>
          <w:szCs w:val="22"/>
        </w:rPr>
        <w:t xml:space="preserve">Os pagamentos deverão ser realizados por meio da internet, mediante transferência eletrônica na conta bancária de titularidade dos fornecedores dos bens e dos prestadores de serviços.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Terceira. </w:t>
      </w:r>
      <w:r>
        <w:rPr>
          <w:rFonts w:ascii="Arial" w:eastAsia="Arial" w:hAnsi="Arial" w:cs="Arial"/>
          <w:color w:val="000000"/>
          <w:sz w:val="22"/>
          <w:szCs w:val="22"/>
        </w:rPr>
        <w:t>Excetuam-se da obrigatoriedade de realizar os pagamentos por meio da Internet:</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 - a transação eletrônica de pagamento de fatura de água, energia elétrica, telefone, gás e de guias de encargos tributários e contribuições sociais; e</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II - a transferência de recursos para a conta de empregado da OSC com a finalidade de realizar pagamentos em espécie de despesas com viagens previstas no plano de trabalho, referentes a deslocamento, hospedagem e alimentação, desde que justificada a impossibilidade física de seu pagamento mediante transferência eletrônica.</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Quarta. </w:t>
      </w:r>
      <w:r>
        <w:rPr>
          <w:rFonts w:ascii="Arial" w:eastAsia="Arial" w:hAnsi="Arial" w:cs="Arial"/>
          <w:color w:val="000000"/>
          <w:sz w:val="22"/>
          <w:szCs w:val="22"/>
        </w:rPr>
        <w:t>O total da transferência de recursos de que trata o inciso II da subcláusula terceira fica limitada a 5% (cinco por cento) do valor pactuado.</w:t>
      </w:r>
    </w:p>
    <w:p w:rsidR="007204EB" w:rsidRDefault="007204EB">
      <w:pPr>
        <w:spacing w:line="276" w:lineRule="auto"/>
        <w:ind w:left="-992" w:right="-837"/>
        <w:jc w:val="both"/>
        <w:rPr>
          <w:rFonts w:ascii="Arial" w:eastAsia="Arial" w:hAnsi="Arial" w:cs="Arial"/>
          <w:b/>
          <w:color w:val="000000"/>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Quinta. </w:t>
      </w:r>
      <w:r>
        <w:rPr>
          <w:rFonts w:ascii="Arial" w:eastAsia="Arial" w:hAnsi="Arial" w:cs="Arial"/>
          <w:color w:val="000000"/>
          <w:sz w:val="22"/>
          <w:szCs w:val="22"/>
        </w:rPr>
        <w:t>A OSC somente poderá pagar despesa em data posterior ao término da vigência da parceria quando o fato gerador da despesa tiver ocorrido durante sua vigência.</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Sexta. </w:t>
      </w:r>
      <w:r>
        <w:rPr>
          <w:rFonts w:ascii="Arial" w:eastAsia="Arial" w:hAnsi="Arial" w:cs="Arial"/>
          <w:color w:val="000000"/>
          <w:sz w:val="22"/>
          <w:szCs w:val="22"/>
        </w:rPr>
        <w:t>Os custos indiretos previstos no plano de trabalho deverão ser pagos por meio da conta específica da parceria e, quando inviável o pagamento parcial da despesa, deverão ser depositados recursos próprios necessários ao seu pagamento integral.</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Sétima. </w:t>
      </w:r>
      <w:r>
        <w:rPr>
          <w:rFonts w:ascii="Arial" w:eastAsia="Arial" w:hAnsi="Arial" w:cs="Arial"/>
          <w:color w:val="000000"/>
          <w:sz w:val="22"/>
          <w:szCs w:val="22"/>
        </w:rPr>
        <w:t>Os recursos próprios necessários ao pagamento integral da despesa de que trata a subcláusula sexta não serão registrados no SIGEF quando da prestação de contas, devendo a despesa ser registrada pelo valor correspondente à execução do objeto.</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ab/>
        <w:t xml:space="preserve"> </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Oitava. </w:t>
      </w:r>
      <w:r>
        <w:rPr>
          <w:rFonts w:ascii="Arial" w:eastAsia="Arial" w:hAnsi="Arial" w:cs="Arial"/>
          <w:color w:val="000000"/>
          <w:sz w:val="22"/>
          <w:szCs w:val="22"/>
        </w:rPr>
        <w:t>É vedada a realização de despesas com multas, juros ou correção monetária, inclusive referentes a pagamentos ou a recolhimentos fora dos prazos, salvo se decorrentes de atrasos da Administração Pública Estadual no repasse de recursos financeiros. A OSC deverá também observar outras condutas vedadas no art. 39 do Decreto nº 1.196, de 2017.</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Nona. </w:t>
      </w:r>
      <w:r>
        <w:rPr>
          <w:rFonts w:ascii="Arial" w:eastAsia="Arial" w:hAnsi="Arial" w:cs="Arial"/>
          <w:sz w:val="22"/>
          <w:szCs w:val="22"/>
        </w:rPr>
        <w:t>Poderão ser pagas despesas com remuneração da equipe de trabalho incorridas durante a vigência da parceria, inclusive de pessoal próprio da OSC, compreendendo também as despesas decorrentes de pagamentos de impostos, contribuições sociais, FGTS, férias, décimo terceiro salário, salários proporcionais, verbas rescisórias e demais encargos sociais e trabalhistas, desde que:</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I – a despesa com remuneração esteja prevista no plano de trabalho e seja proporcional ao tempo efetivamente dedicado à execução do objeto do convênio; e</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lastRenderedPageBreak/>
        <w:t xml:space="preserve">II – a remuneração seja compatível com o valor de mercado e seu valor bruto e individual não supere o teto da remuneração do Poder Executivo Estadual, considerando a carga horária de 44 (quarenta e quatro) horas semanais.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Décima. </w:t>
      </w:r>
      <w:r>
        <w:rPr>
          <w:rFonts w:ascii="Arial" w:eastAsia="Arial" w:hAnsi="Arial" w:cs="Arial"/>
          <w:color w:val="000000"/>
          <w:sz w:val="22"/>
          <w:szCs w:val="22"/>
        </w:rPr>
        <w:t xml:space="preserve">Serão devolvidos ao Concedente, no </w:t>
      </w:r>
      <w:r>
        <w:rPr>
          <w:rFonts w:ascii="Arial" w:eastAsia="Arial" w:hAnsi="Arial" w:cs="Arial"/>
          <w:b/>
          <w:color w:val="000000"/>
          <w:sz w:val="22"/>
          <w:szCs w:val="22"/>
        </w:rPr>
        <w:t>prazo improrrogável de 30 (trinta) dias</w:t>
      </w:r>
      <w:r>
        <w:rPr>
          <w:rFonts w:ascii="Arial" w:eastAsia="Arial" w:hAnsi="Arial" w:cs="Arial"/>
          <w:color w:val="000000"/>
          <w:sz w:val="22"/>
          <w:szCs w:val="22"/>
        </w:rPr>
        <w:t xml:space="preserve"> contados da conclusão, denúncia, rescisão e demais casos de extinção da parceria, os saldos financeiros remanescentes, observado o disposto na subcláusula décima primeira.</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Décima Primeira. </w:t>
      </w:r>
      <w:r>
        <w:rPr>
          <w:rFonts w:ascii="Arial" w:eastAsia="Arial" w:hAnsi="Arial" w:cs="Arial"/>
          <w:color w:val="000000"/>
          <w:sz w:val="22"/>
          <w:szCs w:val="22"/>
        </w:rPr>
        <w:t>O saldo financeiro não aplicado no objeto, inclusive o proveniente de receitas obtidas nas aplicações financeiras, será devolvido na proporção financeira pactuada, independentemente da época em que foram repassados os recursos ou aportada a contrapartida. Na devolução deverão ser considerados os valores que deixaram de ser repassados e a contrapartida financeira não aportada, devendo a devolução de eventual crédito a favor do Concedente ser comprovada na prestação de contas.</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 xml:space="preserve">CLÁUSULA SÉTIMA - DAS OBRIGAÇÕES </w:t>
      </w: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O presente Termo de Fomento deverá ser executado fielmente pelas Partes com estrita observância ao plano de trabalho, às cláusulas e finalidades pactuadas, e demais as normas aplicáveis, respondendo cada uma pelas consequências de sua inexecução ou execução parcial, sendo vedado à OSC utilizar recursos para finalidade alheia ao objeto da parceria.</w:t>
      </w:r>
    </w:p>
    <w:p w:rsidR="007204EB" w:rsidRDefault="007204EB">
      <w:pPr>
        <w:spacing w:line="276" w:lineRule="auto"/>
        <w:ind w:left="-992" w:right="-837"/>
        <w:jc w:val="both"/>
        <w:rPr>
          <w:rFonts w:ascii="Arial" w:eastAsia="Arial" w:hAnsi="Arial" w:cs="Arial"/>
          <w:b/>
          <w:color w:val="000000"/>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Primeira. </w:t>
      </w:r>
      <w:r>
        <w:rPr>
          <w:rFonts w:ascii="Arial" w:eastAsia="Arial" w:hAnsi="Arial" w:cs="Arial"/>
          <w:sz w:val="22"/>
          <w:szCs w:val="22"/>
        </w:rPr>
        <w:t xml:space="preserve">A OSC poderá obter orientações com o Concedente, bem como, consultar, no sítio eletrônico </w:t>
      </w:r>
      <w:hyperlink r:id="rId8">
        <w:r>
          <w:rPr>
            <w:rFonts w:ascii="Arial" w:eastAsia="Arial" w:hAnsi="Arial" w:cs="Arial"/>
            <w:color w:val="0000FF"/>
            <w:sz w:val="22"/>
            <w:szCs w:val="22"/>
            <w:u w:val="single"/>
          </w:rPr>
          <w:t>www.sctransferencias.sc.gov.br</w:t>
        </w:r>
      </w:hyperlink>
      <w:r>
        <w:rPr>
          <w:rFonts w:ascii="Arial" w:eastAsia="Arial" w:hAnsi="Arial" w:cs="Arial"/>
          <w:i/>
          <w:sz w:val="22"/>
          <w:szCs w:val="22"/>
        </w:rPr>
        <w:t xml:space="preserve">, </w:t>
      </w:r>
      <w:r>
        <w:rPr>
          <w:rFonts w:ascii="Arial" w:eastAsia="Arial" w:hAnsi="Arial" w:cs="Arial"/>
          <w:sz w:val="22"/>
          <w:szCs w:val="22"/>
        </w:rPr>
        <w:t>a legislação aplicável à parceria, obter orientações quanto à utilização de sistema informatizado, solicitar alterações da parceria e prestar contas.</w:t>
      </w:r>
    </w:p>
    <w:p w:rsidR="007204EB" w:rsidRDefault="007204EB">
      <w:pPr>
        <w:spacing w:line="276" w:lineRule="auto"/>
        <w:ind w:left="-992" w:right="-837"/>
        <w:jc w:val="both"/>
        <w:rPr>
          <w:rFonts w:ascii="Arial" w:eastAsia="Arial" w:hAnsi="Arial" w:cs="Arial"/>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Segunda</w:t>
      </w:r>
      <w:r>
        <w:rPr>
          <w:rFonts w:ascii="Arial" w:eastAsia="Arial" w:hAnsi="Arial" w:cs="Arial"/>
          <w:color w:val="000000"/>
          <w:sz w:val="22"/>
          <w:szCs w:val="22"/>
        </w:rPr>
        <w:t xml:space="preserve"> A OSC deverá executar o plano de trabalho aprovado, bem como aplicar os recursos públicos e gerir os bens públicos com observância aos princípios da legalidade, da legitimidade, da impessoalidade, da moralidade, da publicidade, da economicidade, da eficiência e da eficácia. É vedado adquirir, com recursos desta parceria, bens ou serviços fornecidos pela própria OSC, por seus dirigentes e respectivos cônjuges ou parentes em linha reta, colateral ou por afinidade, até o segundo grau, inclusive nos casos em que fizerem parte do quadro societário da empresa a ser contratada.</w:t>
      </w:r>
    </w:p>
    <w:p w:rsidR="007204EB" w:rsidRDefault="007204EB">
      <w:pPr>
        <w:pBdr>
          <w:top w:val="nil"/>
          <w:left w:val="nil"/>
          <w:bottom w:val="nil"/>
          <w:right w:val="nil"/>
          <w:between w:val="nil"/>
        </w:pBdr>
        <w:spacing w:line="276" w:lineRule="auto"/>
        <w:ind w:left="-992" w:right="-837"/>
        <w:jc w:val="both"/>
        <w:rPr>
          <w:rFonts w:ascii="Arial" w:eastAsia="Arial" w:hAnsi="Arial" w:cs="Arial"/>
          <w:b/>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Terceira. </w:t>
      </w:r>
      <w:r>
        <w:rPr>
          <w:rFonts w:ascii="Arial" w:eastAsia="Arial" w:hAnsi="Arial" w:cs="Arial"/>
          <w:color w:val="000000"/>
          <w:sz w:val="22"/>
          <w:szCs w:val="22"/>
        </w:rPr>
        <w:t>Quanto aos bens permanentes e/ou equipamentos adquiridos com os recursos deste Termo de Fomento, deve-se:</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utilizar em conformidade com o objeto pactuado;</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garantir sua guarda e manutenção;</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comunicar imediatamente ao Concedente qualquer dano que os bens vierem a sofrer;</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arcar com todas as despesas referentes a transportes, guarda, conservação, manutenção e recuperação dos bens;</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em caso de furto ou de roubo, levar imediatamente o fato, por escrito, mediante protocolo, ao conhecimento da autoridade policial competente, enviando cópia da ocorrência ao Concedente, além da proposta para reposição do bem, de competência da OSC;</w:t>
      </w:r>
    </w:p>
    <w:p w:rsidR="007204EB" w:rsidRDefault="004E2D88">
      <w:pPr>
        <w:numPr>
          <w:ilvl w:val="1"/>
          <w:numId w:val="6"/>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lastRenderedPageBreak/>
        <w:t>durante a vigência do Termo de Fomento, somente movimentar os bens para fora da área inicialmente destinada à sua instalação ou utilização mediante expressa autorização do Concedente e prévio procedimento de controle patrimonial.</w:t>
      </w:r>
    </w:p>
    <w:p w:rsidR="007204EB" w:rsidRDefault="007204EB">
      <w:pPr>
        <w:pBdr>
          <w:top w:val="nil"/>
          <w:left w:val="nil"/>
          <w:bottom w:val="nil"/>
          <w:right w:val="nil"/>
          <w:between w:val="nil"/>
        </w:pBdr>
        <w:spacing w:line="276" w:lineRule="auto"/>
        <w:ind w:left="-992" w:right="-837"/>
        <w:jc w:val="both"/>
        <w:rPr>
          <w:rFonts w:ascii="Arial" w:eastAsia="Arial" w:hAnsi="Arial" w:cs="Arial"/>
          <w:b/>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Quarta. </w:t>
      </w:r>
      <w:r>
        <w:rPr>
          <w:rFonts w:ascii="Arial" w:eastAsia="Arial" w:hAnsi="Arial" w:cs="Arial"/>
          <w:color w:val="000000"/>
          <w:sz w:val="22"/>
          <w:szCs w:val="22"/>
        </w:rPr>
        <w:t>Manter, durante a execução da parceria, as mesmas condições exigidas nos art. 33 e 34 da Lei nº 13.019, de 2014.</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Quinta. </w:t>
      </w:r>
      <w:r>
        <w:rPr>
          <w:rFonts w:ascii="Arial" w:eastAsia="Arial" w:hAnsi="Arial" w:cs="Arial"/>
          <w:color w:val="000000"/>
          <w:sz w:val="22"/>
          <w:szCs w:val="22"/>
        </w:rPr>
        <w:t>A OSC se obriga a não possuir em seu quadro de dirigentes pessoa sobre a qual recaia impedimento previsto nos incisos III e VII do caput do art. 39 da Lei nº 13.019, de 2014.</w:t>
      </w:r>
    </w:p>
    <w:p w:rsidR="007204EB" w:rsidRDefault="007204EB">
      <w:pPr>
        <w:pBdr>
          <w:top w:val="nil"/>
          <w:left w:val="nil"/>
          <w:bottom w:val="nil"/>
          <w:right w:val="nil"/>
          <w:between w:val="nil"/>
        </w:pBdr>
        <w:spacing w:line="276" w:lineRule="auto"/>
        <w:ind w:left="-992" w:right="-837"/>
        <w:jc w:val="both"/>
        <w:rPr>
          <w:rFonts w:ascii="Arial" w:eastAsia="Arial" w:hAnsi="Arial" w:cs="Arial"/>
          <w:b/>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Sexta. </w:t>
      </w:r>
      <w:r>
        <w:rPr>
          <w:rFonts w:ascii="Arial" w:eastAsia="Arial" w:hAnsi="Arial" w:cs="Arial"/>
          <w:color w:val="000000"/>
          <w:sz w:val="22"/>
          <w:szCs w:val="22"/>
        </w:rPr>
        <w:t>A OSC deverá garantir a manutenção da equipe técnica em quantidade e qualidade adequadas ao bom desempenho das atividades.</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Sétima. </w:t>
      </w:r>
      <w:r>
        <w:rPr>
          <w:rFonts w:ascii="Arial" w:eastAsia="Arial" w:hAnsi="Arial" w:cs="Arial"/>
          <w:color w:val="000000"/>
          <w:sz w:val="22"/>
          <w:szCs w:val="22"/>
        </w:rPr>
        <w:t>A OSC deverá divulgar na internet e em locais visíveis de suas sedes sociais e dos estabelecimentos em que exerça suas ações todas as parcerias celebradas, no período compreendido entre o início da vigência e 180 (cento e oitenta) dias após a extinção da parceria, observando o disposto no parágrafo único do art. 11 da Lei nº 13.019, de 2014.</w:t>
      </w:r>
    </w:p>
    <w:p w:rsidR="007204EB" w:rsidRDefault="007204EB">
      <w:pPr>
        <w:pBdr>
          <w:top w:val="nil"/>
          <w:left w:val="nil"/>
          <w:bottom w:val="nil"/>
          <w:right w:val="nil"/>
          <w:between w:val="nil"/>
        </w:pBdr>
        <w:spacing w:line="276" w:lineRule="auto"/>
        <w:ind w:left="-992" w:right="-837"/>
        <w:jc w:val="both"/>
        <w:rPr>
          <w:rFonts w:ascii="Arial" w:eastAsia="Arial" w:hAnsi="Arial" w:cs="Arial"/>
          <w:b/>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Oitava. </w:t>
      </w:r>
      <w:r>
        <w:rPr>
          <w:rFonts w:ascii="Arial" w:eastAsia="Arial" w:hAnsi="Arial" w:cs="Arial"/>
          <w:color w:val="000000"/>
          <w:sz w:val="22"/>
          <w:szCs w:val="22"/>
        </w:rPr>
        <w:t>A OSC deverá manter seu cadastro atualizado no SIGEF, informando especialmente as alterações em seus atos societários e em seu quadro dirigente.</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Nona. </w:t>
      </w:r>
      <w:r>
        <w:rPr>
          <w:rFonts w:ascii="Arial" w:eastAsia="Arial" w:hAnsi="Arial" w:cs="Arial"/>
          <w:color w:val="000000"/>
          <w:sz w:val="22"/>
          <w:szCs w:val="22"/>
        </w:rPr>
        <w:t>A OSC deverá identificar os equipamentos e materiais permanentes adquiridos por meio de etiquetas, adesivos ou placas, sendo que na identificação deverá constar, no mínimo, o número do instrumento e a menção à participação do Estado na execução da parceria.</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tabs>
          <w:tab w:val="left" w:pos="1418"/>
        </w:tabs>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Décima. </w:t>
      </w:r>
      <w:r>
        <w:rPr>
          <w:rFonts w:ascii="Arial" w:eastAsia="Arial" w:hAnsi="Arial" w:cs="Arial"/>
          <w:color w:val="000000"/>
          <w:sz w:val="22"/>
          <w:szCs w:val="22"/>
        </w:rPr>
        <w:t>A Parceira é exclusivamente responsável pelo gerenciamento administrativo e financeiro dos recursos recebidos, inclusive no que disser respeito às despesas de custeio, de investimento e de pessoal, nos termos do art. 42, inciso XIX, da Lei nº 13.019, de 2014.</w:t>
      </w:r>
    </w:p>
    <w:p w:rsidR="007204EB" w:rsidRDefault="007204EB">
      <w:pPr>
        <w:pBdr>
          <w:top w:val="nil"/>
          <w:left w:val="nil"/>
          <w:bottom w:val="nil"/>
          <w:right w:val="nil"/>
          <w:between w:val="nil"/>
        </w:pBdr>
        <w:spacing w:line="276" w:lineRule="auto"/>
        <w:ind w:left="-992" w:right="-837"/>
        <w:rPr>
          <w:rFonts w:ascii="Arial" w:eastAsia="Arial" w:hAnsi="Arial" w:cs="Arial"/>
          <w:strike/>
          <w:color w:val="000000"/>
          <w:sz w:val="22"/>
          <w:szCs w:val="22"/>
          <w:highlight w:val="yellow"/>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Décima </w:t>
      </w:r>
      <w:r>
        <w:rPr>
          <w:rFonts w:ascii="Arial" w:eastAsia="Arial" w:hAnsi="Arial" w:cs="Arial"/>
          <w:b/>
          <w:sz w:val="22"/>
          <w:szCs w:val="22"/>
        </w:rPr>
        <w:t>Primeira</w:t>
      </w:r>
      <w:r>
        <w:rPr>
          <w:rFonts w:ascii="Arial" w:eastAsia="Arial" w:hAnsi="Arial" w:cs="Arial"/>
          <w:b/>
          <w:color w:val="000000"/>
          <w:sz w:val="22"/>
          <w:szCs w:val="22"/>
        </w:rPr>
        <w:t xml:space="preserve">. </w:t>
      </w:r>
      <w:r>
        <w:rPr>
          <w:rFonts w:ascii="Arial" w:eastAsia="Arial" w:hAnsi="Arial" w:cs="Arial"/>
          <w:color w:val="000000"/>
          <w:sz w:val="22"/>
          <w:szCs w:val="22"/>
        </w:rPr>
        <w:t>A OSC é exclusivamente responsável pelo pagamento dos encargos trabalhistas, previdenciários, fiscais e comerciais relacionados à execução do objeto previsto neste Termo de Fomento, o que não implica responsabilidade solidária ou subsidiária da Administração Pública Estadual quanto à inadimplência da Parceira em relação ao referido pagamento, aos ônus incidentes sobre o objeto da parceria ou aos danos decorrentes de restrição à sua execução, nos termos do art. 42, inciso XX, da Lei nº 13.019, de 2014.</w:t>
      </w:r>
    </w:p>
    <w:p w:rsidR="007204EB" w:rsidRDefault="007204EB">
      <w:pPr>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Décima </w:t>
      </w:r>
      <w:r>
        <w:rPr>
          <w:rFonts w:ascii="Arial" w:eastAsia="Arial" w:hAnsi="Arial" w:cs="Arial"/>
          <w:b/>
          <w:sz w:val="22"/>
          <w:szCs w:val="22"/>
        </w:rPr>
        <w:t>Segunda</w:t>
      </w:r>
      <w:r>
        <w:rPr>
          <w:rFonts w:ascii="Arial" w:eastAsia="Arial" w:hAnsi="Arial" w:cs="Arial"/>
          <w:b/>
          <w:color w:val="000000"/>
          <w:sz w:val="22"/>
          <w:szCs w:val="22"/>
        </w:rPr>
        <w:t xml:space="preserve">. </w:t>
      </w:r>
      <w:r>
        <w:rPr>
          <w:rFonts w:ascii="Arial" w:eastAsia="Arial" w:hAnsi="Arial" w:cs="Arial"/>
          <w:color w:val="000000"/>
          <w:sz w:val="22"/>
          <w:szCs w:val="22"/>
        </w:rPr>
        <w:t xml:space="preserve">A Parceira deverá permitir o livre acesso dos agentes da administração pública, do controle interno e do Tribunal de Contas do Estado, aos processos, aos documentos e às informações relacionadas à parceria celebrada, bem como aos locais de execução do objeto da parceria. </w:t>
      </w:r>
    </w:p>
    <w:p w:rsidR="007204EB" w:rsidRDefault="007204EB">
      <w:pPr>
        <w:pBdr>
          <w:top w:val="nil"/>
          <w:left w:val="nil"/>
          <w:bottom w:val="nil"/>
          <w:right w:val="nil"/>
          <w:between w:val="nil"/>
        </w:pBdr>
        <w:spacing w:line="276" w:lineRule="auto"/>
        <w:ind w:left="-992" w:right="-837"/>
        <w:rPr>
          <w:rFonts w:ascii="Arial" w:eastAsia="Arial" w:hAnsi="Arial" w:cs="Arial"/>
          <w:color w:val="000000"/>
          <w:sz w:val="22"/>
          <w:szCs w:val="22"/>
        </w:rPr>
      </w:pPr>
    </w:p>
    <w:p w:rsidR="007204EB" w:rsidRDefault="004E2D88">
      <w:pPr>
        <w:tabs>
          <w:tab w:val="left" w:pos="1418"/>
        </w:tabs>
        <w:spacing w:line="276" w:lineRule="auto"/>
        <w:ind w:left="-992" w:right="-837"/>
        <w:jc w:val="both"/>
        <w:rPr>
          <w:rFonts w:ascii="Arial" w:eastAsia="Arial" w:hAnsi="Arial" w:cs="Arial"/>
          <w:sz w:val="22"/>
          <w:szCs w:val="22"/>
        </w:rPr>
      </w:pPr>
      <w:r>
        <w:rPr>
          <w:rFonts w:ascii="Arial" w:eastAsia="Arial" w:hAnsi="Arial" w:cs="Arial"/>
          <w:b/>
          <w:color w:val="000000"/>
          <w:sz w:val="22"/>
          <w:szCs w:val="22"/>
        </w:rPr>
        <w:t xml:space="preserve">Subcláusula Décima </w:t>
      </w:r>
      <w:r>
        <w:rPr>
          <w:rFonts w:ascii="Arial" w:eastAsia="Arial" w:hAnsi="Arial" w:cs="Arial"/>
          <w:b/>
          <w:sz w:val="22"/>
          <w:szCs w:val="22"/>
        </w:rPr>
        <w:t>Terceira</w:t>
      </w:r>
      <w:r>
        <w:rPr>
          <w:rFonts w:ascii="Arial" w:eastAsia="Arial" w:hAnsi="Arial" w:cs="Arial"/>
          <w:b/>
          <w:color w:val="000000"/>
          <w:sz w:val="22"/>
          <w:szCs w:val="22"/>
        </w:rPr>
        <w:t xml:space="preserve">. </w:t>
      </w:r>
      <w:r>
        <w:rPr>
          <w:rFonts w:ascii="Arial" w:eastAsia="Arial" w:hAnsi="Arial" w:cs="Arial"/>
          <w:sz w:val="22"/>
          <w:szCs w:val="22"/>
        </w:rPr>
        <w:t>A Parceira autoriza, neste ato, o fornecimento de informações sobre a movimentação financeira da conta corrente aos agentes da administração pública, do controle interno e do Tribunal de Contas do Estado.</w:t>
      </w:r>
    </w:p>
    <w:p w:rsidR="007204EB" w:rsidRDefault="007204EB">
      <w:pPr>
        <w:tabs>
          <w:tab w:val="left" w:pos="1418"/>
        </w:tabs>
        <w:spacing w:line="276" w:lineRule="auto"/>
        <w:ind w:left="-992" w:right="-837"/>
        <w:jc w:val="both"/>
        <w:rPr>
          <w:rFonts w:ascii="Arial" w:eastAsia="Arial" w:hAnsi="Arial" w:cs="Arial"/>
          <w:sz w:val="22"/>
          <w:szCs w:val="22"/>
        </w:rPr>
      </w:pPr>
    </w:p>
    <w:p w:rsidR="007204EB" w:rsidRDefault="004E2D88">
      <w:pPr>
        <w:tabs>
          <w:tab w:val="left" w:pos="1418"/>
        </w:tabs>
        <w:spacing w:line="276" w:lineRule="auto"/>
        <w:ind w:left="-992" w:right="-837"/>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Subcláusula Décima </w:t>
      </w:r>
      <w:r>
        <w:rPr>
          <w:rFonts w:ascii="Arial" w:eastAsia="Arial" w:hAnsi="Arial" w:cs="Arial"/>
          <w:b/>
          <w:sz w:val="22"/>
          <w:szCs w:val="22"/>
        </w:rPr>
        <w:t>Quarta</w:t>
      </w:r>
      <w:r>
        <w:rPr>
          <w:rFonts w:ascii="Arial" w:eastAsia="Arial" w:hAnsi="Arial" w:cs="Arial"/>
          <w:b/>
          <w:color w:val="000000"/>
          <w:sz w:val="22"/>
          <w:szCs w:val="22"/>
        </w:rPr>
        <w:t xml:space="preserve">. </w:t>
      </w:r>
      <w:r>
        <w:rPr>
          <w:rFonts w:ascii="Arial" w:eastAsia="Arial" w:hAnsi="Arial" w:cs="Arial"/>
          <w:color w:val="000000"/>
          <w:sz w:val="22"/>
          <w:szCs w:val="22"/>
        </w:rPr>
        <w:t>A Parceira obriga-se a manter guardada cópia da prestação de contas e dos demais documentos relacionados à parceria pelo prazo de 10 (dez) anos, contados da data em que foi aprovada a prestação de contas.</w:t>
      </w:r>
    </w:p>
    <w:p w:rsidR="007204EB" w:rsidRDefault="007204EB">
      <w:pPr>
        <w:pBdr>
          <w:top w:val="nil"/>
          <w:left w:val="nil"/>
          <w:bottom w:val="nil"/>
          <w:right w:val="nil"/>
          <w:between w:val="nil"/>
        </w:pBdr>
        <w:spacing w:line="276" w:lineRule="auto"/>
        <w:ind w:left="-992" w:right="-837"/>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Décima </w:t>
      </w:r>
      <w:r>
        <w:rPr>
          <w:rFonts w:ascii="Arial" w:eastAsia="Arial" w:hAnsi="Arial" w:cs="Arial"/>
          <w:b/>
          <w:sz w:val="22"/>
          <w:szCs w:val="22"/>
        </w:rPr>
        <w:t>Quinta</w:t>
      </w:r>
      <w:r>
        <w:rPr>
          <w:rFonts w:ascii="Arial" w:eastAsia="Arial" w:hAnsi="Arial" w:cs="Arial"/>
          <w:b/>
          <w:color w:val="000000"/>
          <w:sz w:val="22"/>
          <w:szCs w:val="22"/>
        </w:rPr>
        <w:t xml:space="preserve">. </w:t>
      </w:r>
      <w:r>
        <w:rPr>
          <w:rFonts w:ascii="Arial" w:eastAsia="Arial" w:hAnsi="Arial" w:cs="Arial"/>
          <w:sz w:val="22"/>
          <w:szCs w:val="22"/>
        </w:rPr>
        <w:t>A OSC deverá dar ampla transparência, inclusive na plataforma eletrônica existente, o valor total da remuneração da equipe de trabalho e dos valores dos cargos pagos com recursos da parceria.</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Décima </w:t>
      </w:r>
      <w:r>
        <w:rPr>
          <w:rFonts w:ascii="Arial" w:eastAsia="Arial" w:hAnsi="Arial" w:cs="Arial"/>
          <w:b/>
          <w:sz w:val="22"/>
          <w:szCs w:val="22"/>
        </w:rPr>
        <w:t>Sexta</w:t>
      </w:r>
      <w:r>
        <w:rPr>
          <w:rFonts w:ascii="Arial" w:eastAsia="Arial" w:hAnsi="Arial" w:cs="Arial"/>
          <w:b/>
          <w:color w:val="000000"/>
          <w:sz w:val="22"/>
          <w:szCs w:val="22"/>
        </w:rPr>
        <w:t xml:space="preserve">. </w:t>
      </w:r>
      <w:r>
        <w:rPr>
          <w:rFonts w:ascii="Arial" w:eastAsia="Arial" w:hAnsi="Arial" w:cs="Arial"/>
          <w:sz w:val="22"/>
          <w:szCs w:val="22"/>
        </w:rPr>
        <w:t>Constatada a irregularidade</w:t>
      </w:r>
      <w:r>
        <w:rPr>
          <w:rFonts w:ascii="Arial" w:eastAsia="Arial" w:hAnsi="Arial" w:cs="Arial"/>
          <w:color w:val="000000"/>
          <w:sz w:val="22"/>
          <w:szCs w:val="22"/>
        </w:rPr>
        <w:t>, a OSC deverá ressarcir o erário, na forma prevista no art. 44 do Decreto nº 1.196, de 2017, quando comprovada alguma das ocorrências de que trata o referido artigo.</w:t>
      </w:r>
    </w:p>
    <w:p w:rsidR="007204EB" w:rsidRDefault="007204EB">
      <w:pPr>
        <w:pBdr>
          <w:top w:val="nil"/>
          <w:left w:val="nil"/>
          <w:bottom w:val="nil"/>
          <w:right w:val="nil"/>
          <w:between w:val="nil"/>
        </w:pBd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Décima Sétima </w:t>
      </w:r>
      <w:r>
        <w:rPr>
          <w:rFonts w:ascii="Arial" w:eastAsia="Arial" w:hAnsi="Arial" w:cs="Arial"/>
          <w:sz w:val="22"/>
          <w:szCs w:val="22"/>
        </w:rPr>
        <w:t>A Organização da Sociedade Civil obriga-se a alimentar, durante a vigência da parceria, pasta digital disponibilizada pela Concedente em ambiente Google Drive, específica para esta parceria, com os seguintes documentos:</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I – relatório fotográfico das atividades realizadas, com identificação da ação, local e data de realização;</w:t>
      </w:r>
      <w:r>
        <w:rPr>
          <w:rFonts w:ascii="Arial" w:eastAsia="Arial" w:hAnsi="Arial" w:cs="Arial"/>
          <w:sz w:val="22"/>
          <w:szCs w:val="22"/>
        </w:rPr>
        <w:br/>
        <w:t>II – relatórios de execução física das ações previstas no plano de trabalho;</w:t>
      </w:r>
      <w:r>
        <w:rPr>
          <w:rFonts w:ascii="Arial" w:eastAsia="Arial" w:hAnsi="Arial" w:cs="Arial"/>
          <w:sz w:val="22"/>
          <w:szCs w:val="22"/>
        </w:rPr>
        <w:br/>
        <w:t>III – planilhas com listas de presença dos participantes das atividades executadas;</w:t>
      </w:r>
      <w:r>
        <w:rPr>
          <w:rFonts w:ascii="Arial" w:eastAsia="Arial" w:hAnsi="Arial" w:cs="Arial"/>
          <w:sz w:val="22"/>
          <w:szCs w:val="22"/>
        </w:rPr>
        <w:br/>
        <w:t>IV – declarações de autorização de uso de imagem, assinadas pelas pessoas que aparecerem nos registros fotográficos.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Décima Oitava</w:t>
      </w:r>
      <w:r>
        <w:rPr>
          <w:rFonts w:ascii="Arial" w:eastAsia="Arial" w:hAnsi="Arial" w:cs="Arial"/>
          <w:sz w:val="22"/>
          <w:szCs w:val="22"/>
        </w:rPr>
        <w:t xml:space="preserve"> Para parcerias com vigência inferior a 12 (doze) meses, a documentação deverá ser inserida na pasta digital a cada 3 (três) meses, contados a partir do início da execução da parceria.</w:t>
      </w:r>
      <w:r>
        <w:rPr>
          <w:rFonts w:ascii="Arial" w:eastAsia="Arial" w:hAnsi="Arial" w:cs="Arial"/>
          <w:sz w:val="22"/>
          <w:szCs w:val="22"/>
        </w:rPr>
        <w:br/>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Décima Nona</w:t>
      </w:r>
      <w:r>
        <w:rPr>
          <w:rFonts w:ascii="Arial" w:eastAsia="Arial" w:hAnsi="Arial" w:cs="Arial"/>
          <w:sz w:val="22"/>
          <w:szCs w:val="22"/>
        </w:rPr>
        <w:t xml:space="preserve"> Para parcerias com vigência igual ou superior a 12 (doze) meses, a documentação deverá ser inserida a cada 6 (seis) meses, durante todo o período de vigência da parceria.</w:t>
      </w:r>
      <w:r>
        <w:rPr>
          <w:rFonts w:ascii="Arial" w:eastAsia="Arial" w:hAnsi="Arial" w:cs="Arial"/>
          <w:sz w:val="22"/>
          <w:szCs w:val="22"/>
        </w:rPr>
        <w:br/>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Vigésima </w:t>
      </w:r>
      <w:r>
        <w:rPr>
          <w:rFonts w:ascii="Arial" w:eastAsia="Arial" w:hAnsi="Arial" w:cs="Arial"/>
          <w:sz w:val="22"/>
          <w:szCs w:val="22"/>
        </w:rPr>
        <w:t>O cumprimento dos prazos definidos nesta Subcláusula constitui condição para a emissão dos relatórios técnicos de monitoramento e avaliação, bem como para o regular prosseguimento da execução da parceria.</w:t>
      </w:r>
      <w:r>
        <w:rPr>
          <w:rFonts w:ascii="Arial" w:eastAsia="Arial" w:hAnsi="Arial" w:cs="Arial"/>
          <w:sz w:val="22"/>
          <w:szCs w:val="22"/>
        </w:rPr>
        <w:br/>
      </w:r>
      <w:r>
        <w:rPr>
          <w:rFonts w:ascii="Arial" w:eastAsia="Arial" w:hAnsi="Arial" w:cs="Arial"/>
          <w:b/>
          <w:sz w:val="22"/>
          <w:szCs w:val="22"/>
        </w:rPr>
        <w:t xml:space="preserve">Subcláusula Vigésima Primeira </w:t>
      </w:r>
      <w:r>
        <w:rPr>
          <w:rFonts w:ascii="Arial" w:eastAsia="Arial" w:hAnsi="Arial" w:cs="Arial"/>
          <w:sz w:val="22"/>
          <w:szCs w:val="22"/>
        </w:rPr>
        <w:t>A pasta digital mencionada será criada e compartilhada pelo gestor da parceria, no prazo de até 10 (dez) dias úteis após a assinatura deste instrumento, sendo de responsabilidade da OSC a organização e alimentação das informações conforme previsto nesta Subcláusula.</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OITAVA – DAS ALTERAÇÕES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Este Termo de Fomento poderá ser modificado, em suas cláusulas e condições, observada a legislação vigente, exceto quanto ao seu objeto e finalidade, com as devidas justificativas, mediante termo aditivo ou por certidão de apostilamento, devendo o respectivo pedido ser apresentado em até 30 (trinta) dias antes do seu término, observando-se, especialmente, o disposto nos arts. 31 a 33 do Decreto nº 1.196, de 2017.</w:t>
      </w: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NONA – DAS COMPRAS E CONTRATAÇÕES</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A Parceira adotará métodos usualmente utilizados pelo setor privado para a realização de compras e contratações de bens e serviços com recursos transferidos pela Administração Pública Estadual.</w:t>
      </w:r>
      <w:r>
        <w:rPr>
          <w:rFonts w:ascii="Arial" w:eastAsia="Arial" w:hAnsi="Arial" w:cs="Arial"/>
          <w:color w:val="000000"/>
          <w:sz w:val="22"/>
          <w:szCs w:val="22"/>
        </w:rPr>
        <w:t xml:space="preserve">  </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A Parceira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 xml:space="preserve"> </w:t>
      </w:r>
    </w:p>
    <w:p w:rsidR="007204EB" w:rsidRDefault="004E2D88">
      <w:pPr>
        <w:tabs>
          <w:tab w:val="left" w:pos="1418"/>
        </w:tabs>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Para fins de comprovação das despesas, a Parceira deverá obter de seus fornecedores e prestadores de serviços notas, comprovantes fiscais ou recibos, com data, valor, nome e número de inscrição no CNPJ da organização da Parceira e do CNPJ ou CPF do fornecedor ou prestador de serviço, e deverá manter a guarda de cópia dos documentos pelo prazo de 10 (dez) anos, contados da data em que foi aprovada a prestação de contas.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Os documentos fiscais e recibos deverão ser apresentados em primeira via original, preenchidos com clareza e sem emendas, borrões, rasuras, acréscimos ou entrelinhas que possam comprometer a sua credibilidade, devendo o fornecedor ou prestador incluir o número do instrumento da parceria no documento.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highlight w:val="yellow"/>
        </w:rPr>
      </w:pPr>
      <w:r>
        <w:rPr>
          <w:rFonts w:ascii="Arial" w:eastAsia="Arial" w:hAnsi="Arial" w:cs="Arial"/>
          <w:b/>
          <w:sz w:val="22"/>
          <w:szCs w:val="22"/>
        </w:rPr>
        <w:t>CLÁUSULA DÉCIMA – DO MONITORAMENTO E DA AVALIAÇÃO</w:t>
      </w:r>
    </w:p>
    <w:p w:rsidR="007204EB" w:rsidRDefault="007204EB">
      <w:pPr>
        <w:spacing w:line="276" w:lineRule="auto"/>
        <w:ind w:left="-992" w:right="-837"/>
        <w:jc w:val="both"/>
        <w:rPr>
          <w:rFonts w:ascii="Arial" w:eastAsia="Arial" w:hAnsi="Arial" w:cs="Arial"/>
          <w:b/>
          <w:strike/>
          <w:sz w:val="22"/>
          <w:szCs w:val="22"/>
          <w:highlight w:val="yellow"/>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A execução do objeto da parceria será acompanhada pelo Concedente, por meio de ações de monitoramento e avaliação, que terão caráter preventivo e saneador, objetivando a gestão adequada e regular da parceria, e deverão ser registradas no SIGEF.</w:t>
      </w:r>
    </w:p>
    <w:p w:rsidR="007204EB" w:rsidRDefault="007204EB">
      <w:pPr>
        <w:spacing w:line="276" w:lineRule="auto"/>
        <w:ind w:left="-992" w:right="-837"/>
        <w:jc w:val="both"/>
        <w:rPr>
          <w:rFonts w:ascii="Arial" w:eastAsia="Arial" w:hAnsi="Arial" w:cs="Arial"/>
          <w:strike/>
          <w:sz w:val="22"/>
          <w:szCs w:val="22"/>
          <w:highlight w:val="yellow"/>
        </w:rPr>
      </w:pPr>
    </w:p>
    <w:p w:rsidR="007204EB" w:rsidRDefault="004E2D88">
      <w:pPr>
        <w:spacing w:line="276" w:lineRule="auto"/>
        <w:ind w:left="-992" w:right="-837"/>
        <w:jc w:val="both"/>
        <w:rPr>
          <w:rFonts w:ascii="Arial" w:eastAsia="Arial" w:hAnsi="Arial" w:cs="Arial"/>
          <w:b/>
          <w:color w:val="FF0000"/>
          <w:sz w:val="22"/>
          <w:szCs w:val="22"/>
        </w:rPr>
      </w:pPr>
      <w:r>
        <w:rPr>
          <w:rFonts w:ascii="Arial" w:eastAsia="Arial" w:hAnsi="Arial" w:cs="Arial"/>
          <w:b/>
          <w:sz w:val="22"/>
          <w:szCs w:val="22"/>
        </w:rPr>
        <w:t xml:space="preserve">Subcláusula Primeira. </w:t>
      </w:r>
      <w:r>
        <w:rPr>
          <w:rFonts w:ascii="Arial" w:eastAsia="Arial" w:hAnsi="Arial" w:cs="Arial"/>
          <w:sz w:val="22"/>
          <w:szCs w:val="22"/>
        </w:rPr>
        <w:t>As</w:t>
      </w:r>
      <w:r>
        <w:rPr>
          <w:rFonts w:ascii="Arial" w:eastAsia="Arial" w:hAnsi="Arial" w:cs="Arial"/>
          <w:b/>
          <w:sz w:val="22"/>
          <w:szCs w:val="22"/>
        </w:rPr>
        <w:t xml:space="preserve"> </w:t>
      </w:r>
      <w:r>
        <w:rPr>
          <w:rFonts w:ascii="Arial" w:eastAsia="Arial" w:hAnsi="Arial" w:cs="Arial"/>
          <w:sz w:val="22"/>
          <w:szCs w:val="22"/>
        </w:rPr>
        <w:t>ações de monitoramento e avaliação serão realizadas pelo Concedente na forma prevista nos arts. 45 a 48, e, nos arts. 56 a 60, todos do Decreto nº 1.196, de 2017, sem prejuízo ao disposto no § 2º do art. 59, e art. 60 da Lei nº 13.019, 2014.</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No caso de paralisação de uma ou mais atividades que deveriam ter sido realizadas pela Parceira, a Administração Pública Estadual reserva sua prerrogativa de assumir ou transferir a responsabilidade pela execução do objeto, de modo a evitar a descontinuidade do objeto da parceria.</w:t>
      </w:r>
    </w:p>
    <w:p w:rsidR="007204EB" w:rsidRDefault="007204EB">
      <w:pPr>
        <w:spacing w:line="276" w:lineRule="auto"/>
        <w:ind w:left="-992" w:right="-837"/>
        <w:jc w:val="both"/>
        <w:rPr>
          <w:rFonts w:ascii="Arial" w:eastAsia="Arial" w:hAnsi="Arial" w:cs="Arial"/>
          <w:sz w:val="22"/>
          <w:szCs w:val="22"/>
        </w:rPr>
      </w:pP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Com o objetivo de facilitar o acompanhamento das ações executadas, o gestor da parceria disponibilizará à PARCEIRA, por meio de e-mail institucional, o link de acesso a uma pasta digital da Secretaria, criada em ambiente Google Drive, específica para cada parceria. Nessa pasta, a OSC deverá inserir os seguintes documentos, de forma periódica durante a vigência da parceria:</w:t>
      </w: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sz w:val="22"/>
          <w:szCs w:val="22"/>
        </w:rPr>
        <w:t>a) relatório fotográfico das atividades realizadas, com identificação da ação, local e data de realização;</w:t>
      </w: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sz w:val="22"/>
          <w:szCs w:val="22"/>
        </w:rPr>
        <w:t>b) relatórios de execução física das ações previstas no plano de trabalho;</w:t>
      </w: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sz w:val="22"/>
          <w:szCs w:val="22"/>
        </w:rPr>
        <w:t>c) planilhas com listas de presença dos participantes das atividades executadas;</w:t>
      </w: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sz w:val="22"/>
          <w:szCs w:val="22"/>
        </w:rPr>
        <w:t>d) declarações de autorização de uso de imagem, assinadas pelas pessoas que aparecerem nos registros fotográficos.</w:t>
      </w:r>
    </w:p>
    <w:p w:rsidR="007204EB" w:rsidRDefault="007204EB">
      <w:pPr>
        <w:widowControl w:val="0"/>
        <w:tabs>
          <w:tab w:val="left" w:pos="567"/>
        </w:tabs>
        <w:spacing w:line="276" w:lineRule="auto"/>
        <w:ind w:left="-992" w:right="-837"/>
        <w:jc w:val="both"/>
        <w:rPr>
          <w:rFonts w:ascii="Arial" w:eastAsia="Arial" w:hAnsi="Arial" w:cs="Arial"/>
          <w:sz w:val="22"/>
          <w:szCs w:val="22"/>
        </w:rPr>
      </w:pP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b/>
          <w:sz w:val="22"/>
          <w:szCs w:val="22"/>
        </w:rPr>
        <w:lastRenderedPageBreak/>
        <w:t>Subcláusula Quarta.</w:t>
      </w:r>
      <w:r>
        <w:rPr>
          <w:rFonts w:ascii="Arial" w:eastAsia="Arial" w:hAnsi="Arial" w:cs="Arial"/>
          <w:sz w:val="22"/>
          <w:szCs w:val="22"/>
        </w:rPr>
        <w:t xml:space="preserve"> Para parcerias com duração inferior a 12 (doze) meses, a entrega da documentação deverá ocorrer a cada 3 (três) meses.</w:t>
      </w:r>
    </w:p>
    <w:p w:rsidR="007204EB" w:rsidRDefault="007204EB">
      <w:pPr>
        <w:widowControl w:val="0"/>
        <w:tabs>
          <w:tab w:val="left" w:pos="567"/>
        </w:tabs>
        <w:spacing w:line="276" w:lineRule="auto"/>
        <w:ind w:left="-992" w:right="-837"/>
        <w:jc w:val="both"/>
        <w:rPr>
          <w:rFonts w:ascii="Arial" w:eastAsia="Arial" w:hAnsi="Arial" w:cs="Arial"/>
          <w:sz w:val="22"/>
          <w:szCs w:val="22"/>
        </w:rPr>
      </w:pP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Para parcerias com duração igual ou superior a 12 (doze) meses, a entrega da documentação deverá ocorrer a cada 6 (seis) meses.</w:t>
      </w:r>
    </w:p>
    <w:p w:rsidR="007204EB" w:rsidRDefault="007204EB">
      <w:pPr>
        <w:widowControl w:val="0"/>
        <w:tabs>
          <w:tab w:val="left" w:pos="567"/>
        </w:tabs>
        <w:spacing w:line="276" w:lineRule="auto"/>
        <w:ind w:left="-992" w:right="-837"/>
        <w:jc w:val="both"/>
        <w:rPr>
          <w:rFonts w:ascii="Arial" w:eastAsia="Arial" w:hAnsi="Arial" w:cs="Arial"/>
          <w:sz w:val="22"/>
          <w:szCs w:val="22"/>
        </w:rPr>
      </w:pPr>
    </w:p>
    <w:p w:rsidR="007204EB" w:rsidRDefault="004E2D88">
      <w:pPr>
        <w:widowControl w:val="0"/>
        <w:tabs>
          <w:tab w:val="left" w:pos="567"/>
        </w:tabs>
        <w:spacing w:line="276" w:lineRule="auto"/>
        <w:ind w:left="-992" w:right="-837"/>
        <w:jc w:val="both"/>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A entrega da documentação nos prazos estabelecidos é condição para a emissão dos relatórios técnicos de monitoramento e avaliação e para o regular prosseguimento da parceria.</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b/>
          <w:sz w:val="22"/>
          <w:szCs w:val="22"/>
        </w:rPr>
      </w:pPr>
      <w:bookmarkStart w:id="0" w:name="bookmark=id.2et92p0" w:colFirst="0" w:colLast="0"/>
      <w:bookmarkEnd w:id="0"/>
      <w:r>
        <w:rPr>
          <w:rFonts w:ascii="Arial" w:eastAsia="Arial" w:hAnsi="Arial" w:cs="Arial"/>
          <w:b/>
          <w:sz w:val="22"/>
          <w:szCs w:val="22"/>
        </w:rPr>
        <w:t>CLÁUSULA DÉCIMA PRIMEIRA – DA EXTINÇÃO DO TERMO DE FOMENTO</w:t>
      </w:r>
    </w:p>
    <w:p w:rsidR="007204EB" w:rsidRDefault="007204EB">
      <w:pPr>
        <w:pBdr>
          <w:top w:val="nil"/>
          <w:left w:val="nil"/>
          <w:bottom w:val="nil"/>
          <w:right w:val="nil"/>
          <w:between w:val="nil"/>
        </w:pBdr>
        <w:spacing w:line="276" w:lineRule="auto"/>
        <w:ind w:left="-992" w:right="-837"/>
        <w:rPr>
          <w:rFonts w:ascii="Arial" w:eastAsia="Arial" w:hAnsi="Arial" w:cs="Arial"/>
          <w:color w:val="000000"/>
          <w:sz w:val="22"/>
          <w:szCs w:val="22"/>
        </w:rPr>
      </w:pPr>
    </w:p>
    <w:p w:rsidR="007204EB" w:rsidRDefault="004E2D88">
      <w:pPr>
        <w:pBdr>
          <w:top w:val="nil"/>
          <w:left w:val="nil"/>
          <w:bottom w:val="nil"/>
          <w:right w:val="nil"/>
          <w:between w:val="nil"/>
        </w:pBdr>
        <w:spacing w:line="276" w:lineRule="auto"/>
        <w:ind w:left="-992" w:right="-837"/>
        <w:rPr>
          <w:rFonts w:ascii="Arial" w:eastAsia="Arial" w:hAnsi="Arial" w:cs="Arial"/>
          <w:color w:val="000000"/>
          <w:sz w:val="22"/>
          <w:szCs w:val="22"/>
        </w:rPr>
      </w:pPr>
      <w:r>
        <w:rPr>
          <w:rFonts w:ascii="Arial" w:eastAsia="Arial" w:hAnsi="Arial" w:cs="Arial"/>
          <w:color w:val="000000"/>
          <w:sz w:val="22"/>
          <w:szCs w:val="22"/>
        </w:rPr>
        <w:t>O presente Termo de Fomento poderá ser:</w:t>
      </w:r>
    </w:p>
    <w:p w:rsidR="007204EB" w:rsidRDefault="004E2D88">
      <w:pPr>
        <w:pBdr>
          <w:top w:val="nil"/>
          <w:left w:val="nil"/>
          <w:bottom w:val="nil"/>
          <w:right w:val="nil"/>
          <w:between w:val="nil"/>
        </w:pBdr>
        <w:tabs>
          <w:tab w:val="left" w:pos="284"/>
        </w:tabs>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 – extinto por decurso de prazo;</w:t>
      </w:r>
    </w:p>
    <w:p w:rsidR="007204EB" w:rsidRDefault="004E2D88">
      <w:pPr>
        <w:pBdr>
          <w:top w:val="nil"/>
          <w:left w:val="nil"/>
          <w:bottom w:val="nil"/>
          <w:right w:val="nil"/>
          <w:between w:val="nil"/>
        </w:pBdr>
        <w:tabs>
          <w:tab w:val="left" w:pos="284"/>
        </w:tabs>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II – extinto, de comum acordo antes do prazo avençado, mediante Termo de Distrato;</w:t>
      </w:r>
    </w:p>
    <w:p w:rsidR="007204EB" w:rsidRDefault="004E2D88">
      <w:pPr>
        <w:pBdr>
          <w:top w:val="nil"/>
          <w:left w:val="nil"/>
          <w:bottom w:val="nil"/>
          <w:right w:val="nil"/>
          <w:between w:val="nil"/>
        </w:pBdr>
        <w:tabs>
          <w:tab w:val="left" w:pos="284"/>
        </w:tabs>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III – denunciado/resilido, por decisão unilateral de qualquer dos partícipes, independentemente de autorização judicial, mediante prévia notificação por escrito ao outro partícipe; ou</w:t>
      </w:r>
    </w:p>
    <w:p w:rsidR="007204EB" w:rsidRDefault="004E2D88">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IV – rescindido, por decisão unilateral de qualquer dos partícipes, independentemente de autorização judicial, mediante prévia notificação por escrito ao outro partícipe, nas seguintes hipóteses:</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descumprimento injustificado de cláusula deste instrumento;</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irregularidade ou inexecução injustificada, ainda que parcial, do objeto, resultados ou metas pactuadas, quando não sanadas;</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omissão no dever de prestar contas, nas parcerias com vigência superior a um ano, sem prejuízo do disposto no §2º do art. 70 da Lei nº 13.019, de 2014;</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violação da legislação aplicável;</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cometimento de falhas reiteradas na execução;</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malversação de recursos públicos;</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constatação de falsidade ou fraude nas informações ou documentos apresentados;</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não atendimento às recomendações ou determinações decorrentes da fiscalização;</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descumprimento das condições que caracterizam a parceira privada como OSC (art. 2º, inciso I, da Lei nº 13.019, de 2014);</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paralisação da execução da parceria, sem justa causa e prévia comunicação ao Concedente; e</w:t>
      </w:r>
    </w:p>
    <w:p w:rsidR="007204EB" w:rsidRDefault="004E2D88">
      <w:pPr>
        <w:widowControl w:val="0"/>
        <w:numPr>
          <w:ilvl w:val="0"/>
          <w:numId w:val="11"/>
        </w:numPr>
        <w:pBdr>
          <w:top w:val="nil"/>
          <w:left w:val="nil"/>
          <w:bottom w:val="nil"/>
          <w:right w:val="nil"/>
          <w:between w:val="nil"/>
        </w:pBdr>
        <w:tabs>
          <w:tab w:val="left" w:pos="284"/>
          <w:tab w:val="left" w:pos="851"/>
        </w:tabs>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outras hipóteses expressamente previstas na legislação aplicável.</w:t>
      </w:r>
    </w:p>
    <w:p w:rsidR="007204EB" w:rsidRDefault="007204EB">
      <w:pPr>
        <w:spacing w:line="276" w:lineRule="auto"/>
        <w:ind w:left="-992" w:right="-837"/>
        <w:jc w:val="both"/>
        <w:rPr>
          <w:rFonts w:ascii="Arial" w:eastAsia="Arial" w:hAnsi="Arial" w:cs="Arial"/>
          <w:sz w:val="22"/>
          <w:szCs w:val="22"/>
        </w:rPr>
      </w:pPr>
    </w:p>
    <w:p w:rsidR="007204EB" w:rsidRDefault="004E2D88">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Primeira.</w:t>
      </w:r>
      <w:r>
        <w:rPr>
          <w:rFonts w:ascii="Arial" w:eastAsia="Arial" w:hAnsi="Arial" w:cs="Arial"/>
          <w:color w:val="000000"/>
          <w:sz w:val="22"/>
          <w:szCs w:val="22"/>
        </w:rPr>
        <w:t xml:space="preserve"> A denúncia/resilição será eficaz 60 (sessenta) dias após a data de recebimento da notificação, ficando os partícipes responsáveis somente pelas obrigações e vantagens do tempo em que participaram voluntariamente da avença.</w:t>
      </w:r>
    </w:p>
    <w:p w:rsidR="007204EB" w:rsidRDefault="007204EB">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Segunda.</w:t>
      </w:r>
      <w:r>
        <w:rPr>
          <w:rFonts w:ascii="Arial" w:eastAsia="Arial" w:hAnsi="Arial" w:cs="Arial"/>
          <w:color w:val="000000"/>
          <w:sz w:val="22"/>
          <w:szCs w:val="22"/>
        </w:rPr>
        <w:t xml:space="preserve"> Em caso de denúncia/resilição ou rescisão unilateral por parte do Concedente, que não decorra de culpa, dolo ou má gestão da Parceira, o Poder Público ressarcirá a parceira privada dos danos emergentes comprovados que houver sofrido.</w:t>
      </w:r>
    </w:p>
    <w:p w:rsidR="007204EB" w:rsidRDefault="007204EB">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Terceira.</w:t>
      </w:r>
      <w:r>
        <w:rPr>
          <w:rFonts w:ascii="Arial" w:eastAsia="Arial" w:hAnsi="Arial" w:cs="Arial"/>
          <w:color w:val="000000"/>
          <w:sz w:val="22"/>
          <w:szCs w:val="22"/>
        </w:rPr>
        <w:t xml:space="preserve"> Em caso de denúncia/resilição ou rescisão unilateral por culpa, dolo ou má gestão por parte da Parceira, devidamente comprovada, a organização da sociedade civil não terá direito a qualquer indenização, devendo indenizar o Poder Público pelos danos comprovados.</w:t>
      </w:r>
    </w:p>
    <w:p w:rsidR="007204EB" w:rsidRDefault="007204EB">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p>
    <w:p w:rsidR="007204EB" w:rsidRDefault="004E2D88">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Quarta.</w:t>
      </w:r>
      <w:r>
        <w:rPr>
          <w:rFonts w:ascii="Arial" w:eastAsia="Arial" w:hAnsi="Arial" w:cs="Arial"/>
          <w:color w:val="000000"/>
          <w:sz w:val="22"/>
          <w:szCs w:val="22"/>
        </w:rPr>
        <w:t xml:space="preserve"> Os casos de rescisão unilateral serão formalmente motivados nos autos do processo administrativo, assegurado o contraditório e a ampla defesa, na forma prevista no §3º do art. 58 do Decreto nº 1.196, de 2017. O prazo de defesa não poderá ser inferior a 10 (dez) dias da abertura de vista do processo. </w:t>
      </w:r>
    </w:p>
    <w:p w:rsidR="007204EB" w:rsidRDefault="007204EB">
      <w:pPr>
        <w:widowControl w:val="0"/>
        <w:pBdr>
          <w:top w:val="nil"/>
          <w:left w:val="nil"/>
          <w:bottom w:val="nil"/>
          <w:right w:val="nil"/>
          <w:between w:val="nil"/>
        </w:pBdr>
        <w:tabs>
          <w:tab w:val="left" w:pos="9639"/>
        </w:tabs>
        <w:spacing w:line="276" w:lineRule="auto"/>
        <w:ind w:left="-992" w:right="-837"/>
        <w:jc w:val="both"/>
        <w:rPr>
          <w:rFonts w:ascii="Arial" w:eastAsia="Arial" w:hAnsi="Arial" w:cs="Arial"/>
          <w:b/>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b/>
          <w:color w:val="000000"/>
          <w:sz w:val="22"/>
          <w:szCs w:val="22"/>
        </w:rPr>
      </w:pPr>
      <w:r>
        <w:rPr>
          <w:rFonts w:ascii="Arial" w:eastAsia="Arial" w:hAnsi="Arial" w:cs="Arial"/>
          <w:b/>
          <w:color w:val="000000"/>
          <w:sz w:val="22"/>
          <w:szCs w:val="22"/>
        </w:rPr>
        <w:t>CLÁUSULA DÉCIMA SEGUNDA – DA RESTITUIÇÃO DOS RECURSOS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FF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Serão devolvidos ao Concedente, no prazo improrrogável de 30 (trinta) dias contados da conclusão, denúncia, rescisão e demais casos de extinção da parceria, os saldos financeiros remanescentes.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O saldo financeiro não aplicado no objeto, inclusive o proveniente de receitas obtidas nas aplicações financeiras, será devolvido na proporção financeira pactuada, independentemente da época em que foram repassados os recursos ou aportada a contrapartida. Na devolução deverão ser considerados os valores que deixaram de ser repassados e a contrapartida financeira não aportada, devendo a devolução de eventual crédito a favor do Concedente ser comprovada na prestação de contas.</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Quando constatada irregularidade, os recursos deverão ser restituídos conforme disposto no art. 44 do Decreto nº 1.196, de 2017, devidamente atualizados pelo Índice Nacional de Preços ao Consumidor (INPC) e acrescido de juros de mora de 1% (um por cento) ao mês ou fração.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Sobre os recursos utilizados em desacordo com as despesas previamente aprovadas no plano de trabalho incidirá atualização monetária e juros de mora a partir da saída irregular da conta bancária específica.</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quarta.</w:t>
      </w:r>
      <w:r>
        <w:rPr>
          <w:rFonts w:ascii="Arial" w:eastAsia="Arial" w:hAnsi="Arial" w:cs="Arial"/>
          <w:sz w:val="22"/>
          <w:szCs w:val="22"/>
        </w:rPr>
        <w:t xml:space="preserve"> Nos casos em que o objeto não for executado ou não for apresentada prestação de contas, incidirá atualização monetária a partir da data limite para execução do objeto ou da data limite para prestação de contas, respectivamente.</w:t>
      </w:r>
    </w:p>
    <w:p w:rsidR="007204EB" w:rsidRDefault="007204EB">
      <w:pPr>
        <w:spacing w:line="276" w:lineRule="auto"/>
        <w:ind w:left="-992" w:right="-837"/>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No caso de não aplicação financeira, o dano ao erário será calculado até a data do ressarcimento, considerando-se o rendimento que seria auferido com a poupança.</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highlight w:val="cyan"/>
        </w:rPr>
      </w:pPr>
      <w:r>
        <w:rPr>
          <w:rFonts w:ascii="Arial" w:eastAsia="Arial" w:hAnsi="Arial" w:cs="Arial"/>
          <w:b/>
          <w:sz w:val="22"/>
          <w:szCs w:val="22"/>
        </w:rPr>
        <w:t>Subcláusula sexta.</w:t>
      </w:r>
      <w:r>
        <w:rPr>
          <w:rFonts w:ascii="Arial" w:eastAsia="Arial" w:hAnsi="Arial" w:cs="Arial"/>
          <w:sz w:val="22"/>
          <w:szCs w:val="22"/>
        </w:rPr>
        <w:t xml:space="preserve"> Quando não for constatado dolo, não haverá incidência de juros de mora sobre o dano apurado no período compreendido entre a data limite para a análise e a data da apreciação da prestação de contas.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TERCEIRA – DOS BENS REMANESCENTES</w:t>
      </w:r>
    </w:p>
    <w:p w:rsidR="007204EB" w:rsidRDefault="004E2D88">
      <w:pPr>
        <w:tabs>
          <w:tab w:val="left" w:pos="3525"/>
        </w:tabs>
        <w:spacing w:line="276" w:lineRule="auto"/>
        <w:ind w:left="-992" w:right="-837"/>
        <w:jc w:val="both"/>
        <w:rPr>
          <w:rFonts w:ascii="Arial" w:eastAsia="Arial" w:hAnsi="Arial" w:cs="Arial"/>
          <w:color w:val="FF0000"/>
          <w:sz w:val="22"/>
          <w:szCs w:val="22"/>
        </w:rPr>
      </w:pPr>
      <w:r>
        <w:rPr>
          <w:rFonts w:ascii="Arial" w:eastAsia="Arial" w:hAnsi="Arial" w:cs="Arial"/>
          <w:color w:val="FF0000"/>
          <w:sz w:val="22"/>
          <w:szCs w:val="22"/>
        </w:rPr>
        <w:tab/>
      </w:r>
    </w:p>
    <w:p w:rsidR="007204EB" w:rsidRDefault="004E2D88">
      <w:pPr>
        <w:shd w:val="clear" w:color="auto" w:fill="FFFFFF"/>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highlight w:val="white"/>
        </w:rPr>
        <w:t xml:space="preserve">Os bens patrimoniais adquiridos, produzidos, transformados ou construídos com recursos repassados pela Administração Pública são de titularidade da OSC e ficarão afetados ao objeto da presente parceria durante o prazo de sua duração, sendo considerados bens remanescentes ao seu término, dispensada a celebração de instrumento específico para esta finalidade. </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 </w:t>
      </w:r>
    </w:p>
    <w:p w:rsidR="007204EB" w:rsidRDefault="004E2D88">
      <w:pPr>
        <w:shd w:val="clear" w:color="auto" w:fill="FFFFFF"/>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highlight w:val="white"/>
        </w:rPr>
        <w:lastRenderedPageBreak/>
        <w:t>Subcláusula Primeira.</w:t>
      </w:r>
      <w:r>
        <w:rPr>
          <w:rFonts w:ascii="Arial" w:eastAsia="Arial" w:hAnsi="Arial" w:cs="Arial"/>
          <w:color w:val="000000"/>
          <w:sz w:val="22"/>
          <w:szCs w:val="22"/>
          <w:highlight w:val="white"/>
        </w:rPr>
        <w:t xml:space="preserve"> Os bens patrimoniais de que trata o </w:t>
      </w:r>
      <w:r>
        <w:rPr>
          <w:rFonts w:ascii="Arial" w:eastAsia="Arial" w:hAnsi="Arial" w:cs="Arial"/>
          <w:b/>
          <w:i/>
          <w:color w:val="000000"/>
          <w:sz w:val="22"/>
          <w:szCs w:val="22"/>
          <w:highlight w:val="white"/>
        </w:rPr>
        <w:t>caput</w:t>
      </w:r>
      <w:r>
        <w:rPr>
          <w:rFonts w:ascii="Arial" w:eastAsia="Arial" w:hAnsi="Arial" w:cs="Arial"/>
          <w:color w:val="000000"/>
          <w:sz w:val="22"/>
          <w:szCs w:val="22"/>
          <w:highlight w:val="white"/>
        </w:rPr>
        <w:t xml:space="preserve"> deverão ser gravados com cláusula de inalienabilidade enquanto vigorar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 </w:t>
      </w: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Segunda.</w:t>
      </w:r>
      <w:r>
        <w:rPr>
          <w:rFonts w:ascii="Arial" w:eastAsia="Arial" w:hAnsi="Arial" w:cs="Arial"/>
          <w:color w:val="000000"/>
          <w:sz w:val="22"/>
          <w:szCs w:val="22"/>
        </w:rPr>
        <w:t xml:space="preserve"> Quando da extinção da parceria, os bens remanescentes permanecerão de propriedade da OSC, na medida em que os bens serão úteis à continuidade da execução de ações de interesse social pela organização. </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hd w:val="clear" w:color="auto" w:fill="FFFFFF"/>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highlight w:val="white"/>
        </w:rPr>
        <w:t>Subcláusula Terceira.</w:t>
      </w:r>
      <w:r>
        <w:rPr>
          <w:rFonts w:ascii="Arial" w:eastAsia="Arial" w:hAnsi="Arial" w:cs="Arial"/>
          <w:color w:val="000000"/>
          <w:sz w:val="22"/>
          <w:szCs w:val="22"/>
          <w:highlight w:val="white"/>
        </w:rPr>
        <w:t xml:space="preserve"> Os bens remanescentes poderão ter sua propriedade revertida para o Poder Público, a critério da Administração Pública, se ao término da parceria ficar constatado que a OSC não terá condições de dar continuidade à execução de ações de interesse social ou quando a transferência da propriedade for necessária para assegurar a continuidade do objeto pactuado, seja por meio da celebração de nova parceria, seja pela execução direta do objeto pela Administração Pública Estadual.</w:t>
      </w:r>
    </w:p>
    <w:p w:rsidR="007204EB" w:rsidRDefault="007204EB">
      <w:pPr>
        <w:spacing w:line="276" w:lineRule="auto"/>
        <w:ind w:left="-992" w:right="-837"/>
        <w:jc w:val="both"/>
        <w:rPr>
          <w:rFonts w:ascii="Arial" w:eastAsia="Arial" w:hAnsi="Arial" w:cs="Arial"/>
          <w:color w:val="FF0000"/>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DECIMA QUARTA – DA PROPRIEDADE INTELECTUAL</w:t>
      </w:r>
    </w:p>
    <w:p w:rsidR="007204EB" w:rsidRDefault="007204EB">
      <w:pPr>
        <w:spacing w:line="276" w:lineRule="auto"/>
        <w:ind w:left="-992" w:right="-837"/>
        <w:jc w:val="both"/>
        <w:rPr>
          <w:rFonts w:ascii="Arial" w:eastAsia="Arial" w:hAnsi="Arial" w:cs="Arial"/>
          <w:b/>
          <w:sz w:val="22"/>
          <w:szCs w:val="22"/>
        </w:rPr>
      </w:pP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Caso as atividades realizadas pela Parceira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Parceira terá a titularidade da propriedade intelectual e a participação nos ganhos econômicos resultantes da exploração dos respectivos bens imateriais, os quais ficarão gravados com cláusula de inalienabilidade até a aprovação das contas.</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 </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Durante a vigência da parceria, os ganhos econômicos auferidos pela Parceira na exploração ou licença de uso dos bens passíveis de propriedade intelectual, gerados com os recursos públicos provenientes do Termo de Fomento, deverão ser aplicados no objeto do presente instrumento, sem prejuízo do disposto na Subcláusula seguinte.</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 </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A participação nos ganhos econômicos fica assegurada, nos termos da legislação específica, ao inventor, criador ou autor.</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 </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highlight w:val="white"/>
        </w:rPr>
        <w:t>Subcláusula Terceira.</w:t>
      </w:r>
      <w:r>
        <w:rPr>
          <w:rFonts w:ascii="Arial" w:eastAsia="Arial" w:hAnsi="Arial" w:cs="Arial"/>
          <w:sz w:val="22"/>
          <w:szCs w:val="22"/>
          <w:highlight w:val="white"/>
        </w:rPr>
        <w:t xml:space="preserve"> Quando da extinção da parceria, os bens remanescentes passíveis de proteção pelo direito de propriedade intelectual permanecerão na titularidade da Parceira, quando forem úteis à continuidade da execução de ações de interesse social pela organização, observado o disposto na Subcláusula seguinte.</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highlight w:val="white"/>
        </w:rPr>
        <w:t> </w:t>
      </w: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highlight w:val="white"/>
        </w:rPr>
        <w:t>Subcláusula Quarta.</w:t>
      </w:r>
      <w:r>
        <w:rPr>
          <w:rFonts w:ascii="Arial" w:eastAsia="Arial" w:hAnsi="Arial" w:cs="Arial"/>
          <w:sz w:val="22"/>
          <w:szCs w:val="22"/>
          <w:highlight w:val="white"/>
        </w:rPr>
        <w:t xml:space="preserve"> Quando da extinção da parceria, os bens remanescentes passíveis de proteção pelo direito de propriedade intelectual poderão ter sua propriedade revertida para o órgão ou entidade pública estadual, a critério do Concedente quando a Parceira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rsidR="007204EB" w:rsidRDefault="004E2D88">
      <w:pPr>
        <w:shd w:val="clear" w:color="auto" w:fill="FFFFFF"/>
        <w:tabs>
          <w:tab w:val="left" w:pos="4230"/>
        </w:tabs>
        <w:spacing w:line="276" w:lineRule="auto"/>
        <w:ind w:left="-992" w:right="-837"/>
        <w:jc w:val="both"/>
        <w:rPr>
          <w:rFonts w:ascii="Arial" w:eastAsia="Arial" w:hAnsi="Arial" w:cs="Arial"/>
          <w:sz w:val="22"/>
          <w:szCs w:val="22"/>
        </w:rPr>
      </w:pPr>
      <w:r>
        <w:rPr>
          <w:rFonts w:ascii="Arial" w:eastAsia="Arial" w:hAnsi="Arial" w:cs="Arial"/>
          <w:sz w:val="22"/>
          <w:szCs w:val="22"/>
        </w:rPr>
        <w:tab/>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b/>
          <w:sz w:val="22"/>
          <w:szCs w:val="22"/>
        </w:rPr>
        <w:lastRenderedPageBreak/>
        <w:t>Subcláusula Quinta</w:t>
      </w:r>
      <w:r>
        <w:rPr>
          <w:rFonts w:ascii="Arial" w:eastAsia="Arial" w:hAnsi="Arial" w:cs="Arial"/>
          <w:sz w:val="22"/>
          <w:szCs w:val="22"/>
        </w:rPr>
        <w:t xml:space="preserve">. A </w:t>
      </w:r>
      <w:r>
        <w:rPr>
          <w:rFonts w:ascii="Arial" w:eastAsia="Arial" w:hAnsi="Arial" w:cs="Arial"/>
          <w:sz w:val="22"/>
          <w:szCs w:val="22"/>
          <w:highlight w:val="white"/>
        </w:rPr>
        <w:t>Parceira</w:t>
      </w:r>
      <w:r>
        <w:rPr>
          <w:rFonts w:ascii="Arial" w:eastAsia="Arial" w:hAnsi="Arial" w:cs="Arial"/>
          <w:sz w:val="22"/>
          <w:szCs w:val="22"/>
        </w:rPr>
        <w:t xml:space="preserve"> declara, mediante a assinatura deste instrumento, que se responsabiliza integralmente por providenciar, independente de solicitação da Administração Pública, todas as autorizações ou licenças necessárias para que o órgão ou entidade pública estadual utilize, sem ônus, durante o prazo de proteção dos direitos incidentes, em território nacional e estrangeiro, em caráter não exclusivo, os bens submetidos a regime de propriedade intelectual que forem resultado da execução desta parceria, da seguinte forma:</w:t>
      </w:r>
    </w:p>
    <w:p w:rsidR="007204EB" w:rsidRDefault="007204EB">
      <w:pPr>
        <w:shd w:val="clear" w:color="auto" w:fill="FFFFFF"/>
        <w:spacing w:line="276" w:lineRule="auto"/>
        <w:ind w:left="-992" w:right="-837"/>
        <w:jc w:val="both"/>
        <w:rPr>
          <w:rFonts w:ascii="Arial" w:eastAsia="Arial" w:hAnsi="Arial" w:cs="Arial"/>
          <w:sz w:val="22"/>
          <w:szCs w:val="22"/>
        </w:rPr>
      </w:pPr>
    </w:p>
    <w:p w:rsidR="007204EB" w:rsidRDefault="004E2D88">
      <w:pPr>
        <w:pBdr>
          <w:top w:val="nil"/>
          <w:left w:val="nil"/>
          <w:bottom w:val="nil"/>
          <w:right w:val="nil"/>
          <w:between w:val="nil"/>
        </w:pBdr>
        <w:shd w:val="clear" w:color="auto" w:fill="FFFFFF"/>
        <w:tabs>
          <w:tab w:val="left" w:pos="567"/>
        </w:tabs>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I – quanto aos direitos de que trata a Lei nº 9.610, de 19 de fevereiro de 1998, por quaisquer modalidades de utilização existentes ou que venham a ser inventadas, inclusive a:</w:t>
      </w:r>
    </w:p>
    <w:p w:rsidR="007204EB" w:rsidRDefault="007204EB">
      <w:pPr>
        <w:pBdr>
          <w:top w:val="nil"/>
          <w:left w:val="nil"/>
          <w:bottom w:val="nil"/>
          <w:right w:val="nil"/>
          <w:between w:val="nil"/>
        </w:pBdr>
        <w:shd w:val="clear" w:color="auto" w:fill="FFFFFF"/>
        <w:tabs>
          <w:tab w:val="left" w:pos="567"/>
        </w:tabs>
        <w:spacing w:line="276" w:lineRule="auto"/>
        <w:ind w:left="-992" w:right="-837"/>
        <w:jc w:val="both"/>
        <w:rPr>
          <w:rFonts w:ascii="Arial" w:eastAsia="Arial" w:hAnsi="Arial" w:cs="Arial"/>
          <w:color w:val="000000"/>
          <w:sz w:val="22"/>
          <w:szCs w:val="22"/>
        </w:rPr>
      </w:pP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reprodução parcial ou integral;</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edição;</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adaptação, o arranjo musical e quaisquer outras transformações;</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tradução para qualquer idioma;</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inclusão em fonograma ou produção audiovisual;</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007204EB" w:rsidRDefault="004E2D88">
      <w:pPr>
        <w:numPr>
          <w:ilvl w:val="0"/>
          <w:numId w:val="7"/>
        </w:numPr>
        <w:pBdr>
          <w:top w:val="nil"/>
          <w:left w:val="nil"/>
          <w:bottom w:val="nil"/>
          <w:right w:val="nil"/>
          <w:between w:val="nil"/>
        </w:pBdr>
        <w:shd w:val="clear" w:color="auto" w:fill="FFFFFF"/>
        <w:tabs>
          <w:tab w:val="left" w:pos="426"/>
        </w:tabs>
        <w:spacing w:line="360"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 xml:space="preserve">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Pr>
          <w:rFonts w:ascii="Arial" w:eastAsia="Arial" w:hAnsi="Arial" w:cs="Arial"/>
          <w:color w:val="000000"/>
          <w:sz w:val="22"/>
          <w:szCs w:val="22"/>
          <w:highlight w:val="white"/>
        </w:rPr>
        <w:t xml:space="preserve">emprego de satélites artificiais; emprego de sistemas óticos, fios telefônicos ou não, cabos de qualquer tipo e meios de comunicação similares que venham a ser adotados; </w:t>
      </w:r>
      <w:r>
        <w:rPr>
          <w:rFonts w:ascii="Arial" w:eastAsia="Arial" w:hAnsi="Arial" w:cs="Arial"/>
          <w:color w:val="000000"/>
          <w:sz w:val="22"/>
          <w:szCs w:val="22"/>
        </w:rPr>
        <w:t>exposição de obras de artes plásticas e figurativas; e,inclusão em base de dados, o armazenamento em computador, a microfilmagem e as demais formas de arquivamento do gênero.</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II – quanto aos direitos de que trata a Lei nº 9.279, de 14 de maio de 1996, para a exploração de patente de invenção ou de modelo de utilidade e de registro de desenho industrial;</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III – quanto aos direitos de que trata a Lei nº 9.456, de 25 de abril de 1997, pela utilização da cultivar protegida; e</w:t>
      </w:r>
    </w:p>
    <w:p w:rsidR="007204EB" w:rsidRDefault="004E2D88">
      <w:pPr>
        <w:shd w:val="clear" w:color="auto" w:fill="FFFFFF"/>
        <w:spacing w:line="276" w:lineRule="auto"/>
        <w:ind w:left="-992" w:right="-837"/>
        <w:jc w:val="both"/>
        <w:rPr>
          <w:rFonts w:ascii="Arial" w:eastAsia="Arial" w:hAnsi="Arial" w:cs="Arial"/>
          <w:sz w:val="22"/>
          <w:szCs w:val="22"/>
        </w:rPr>
      </w:pPr>
      <w:r>
        <w:rPr>
          <w:rFonts w:ascii="Arial" w:eastAsia="Arial" w:hAnsi="Arial" w:cs="Arial"/>
          <w:sz w:val="22"/>
          <w:szCs w:val="22"/>
        </w:rPr>
        <w:t>IV – quanto aos direitos de que trata a Lei nº 9.609, de 19 de fevereiro de 1998, pela utilização de programas de computador.</w:t>
      </w:r>
    </w:p>
    <w:p w:rsidR="007204EB" w:rsidRDefault="007204EB">
      <w:pPr>
        <w:shd w:val="clear" w:color="auto" w:fill="FFFFFF"/>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Cada um dos partícipes tomará as precauções necessárias para salvaguardar o sigilo das informações consideradas confidenciais acerca da propriedade intelectual, podendo estabelecer em instrumento específico as condições referentes à confidencialidade de dado ou </w:t>
      </w:r>
      <w:r>
        <w:rPr>
          <w:rFonts w:ascii="Arial" w:eastAsia="Arial" w:hAnsi="Arial" w:cs="Arial"/>
          <w:sz w:val="22"/>
          <w:szCs w:val="22"/>
        </w:rPr>
        <w:lastRenderedPageBreak/>
        <w:t>informação cuja publicação ou revelação possa colocar em risco a aquisição, manutenção e exploração dos direitos de propriedade intelectual resultantes desta parceria.</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QUINTA – DA PRESTAÇÃO DE CONTAS</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sz w:val="22"/>
          <w:szCs w:val="22"/>
        </w:rPr>
        <w:t>A Parceira deverá prestar contas:</w:t>
      </w:r>
    </w:p>
    <w:p w:rsidR="007204EB" w:rsidRDefault="004E2D88">
      <w:pPr>
        <w:numPr>
          <w:ilvl w:val="0"/>
          <w:numId w:val="8"/>
        </w:numPr>
        <w:pBdr>
          <w:top w:val="nil"/>
          <w:left w:val="nil"/>
          <w:bottom w:val="nil"/>
          <w:right w:val="nil"/>
          <w:between w:val="nil"/>
        </w:pBdr>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 xml:space="preserve">parcial, nas parcerias cuja duração exceder 1 (um) ano, observada a ordem dos recursos repassados, o disposto nos arts. 49 a 52 do Decreto nº 1.196, de 2017, e o prazo de 30 (trinta) dias para prestar contas, contados após 12 (doze) meses da primeira liberação de recurso; </w:t>
      </w:r>
    </w:p>
    <w:p w:rsidR="007204EB" w:rsidRDefault="004E2D88">
      <w:pPr>
        <w:numPr>
          <w:ilvl w:val="0"/>
          <w:numId w:val="8"/>
        </w:numPr>
        <w:pBdr>
          <w:top w:val="nil"/>
          <w:left w:val="nil"/>
          <w:bottom w:val="nil"/>
          <w:right w:val="nil"/>
          <w:between w:val="nil"/>
        </w:pBdr>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final, observado o disposto no art. 49 e art. 53 do Decreto nº 1.196, de 2017, em até 90 (noventa) dias contados do término da vigência do Termo de Fomento.</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Não será recebida a prestação de contas quando não forem enviadas as informações por meio do SIGEF ou quando não forem apresentados os documentos previstos nos incisos I, II, XVI, XVII e XX do caput do art. 51 e os documentos previstos nos incisos I a III do caput do art. 53, todos do Decreto nº 1.196, de 2017, conforme o caso, devendo o Concedente solicitar imediatamente os documentos faltantes à parceira.</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b/>
          <w:sz w:val="22"/>
          <w:szCs w:val="22"/>
        </w:rPr>
        <w:t xml:space="preserve">Subcláusula Segunda. </w:t>
      </w:r>
      <w:r>
        <w:rPr>
          <w:rFonts w:ascii="Arial" w:eastAsia="Arial" w:hAnsi="Arial" w:cs="Arial"/>
          <w:sz w:val="22"/>
          <w:szCs w:val="22"/>
        </w:rPr>
        <w:t xml:space="preserve">A OSC também deverá apresentar documentos e prestar informações sempre que solicitado, inclusive no âmbito das ações de monitoramento de que trata o art. 45 do </w:t>
      </w:r>
      <w:r>
        <w:rPr>
          <w:rFonts w:ascii="Arial" w:eastAsia="Arial" w:hAnsi="Arial" w:cs="Arial"/>
          <w:color w:val="000000"/>
          <w:sz w:val="22"/>
          <w:szCs w:val="22"/>
        </w:rPr>
        <w:t>Decreto nº 1.196, de 2017.</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Quando identificada a ocorrência de irregularidade em prestação de contas, o gestor da Parceria notificará a parceira por meio do SIGEF, a fim de que, no prazo concedido:</w:t>
      </w:r>
    </w:p>
    <w:p w:rsidR="007204EB" w:rsidRDefault="004E2D88">
      <w:pPr>
        <w:numPr>
          <w:ilvl w:val="0"/>
          <w:numId w:val="9"/>
        </w:numPr>
        <w:pBdr>
          <w:top w:val="nil"/>
          <w:left w:val="nil"/>
          <w:bottom w:val="nil"/>
          <w:right w:val="nil"/>
          <w:between w:val="nil"/>
        </w:pBdr>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apresente defesa;</w:t>
      </w:r>
    </w:p>
    <w:p w:rsidR="007204EB" w:rsidRDefault="004E2D88">
      <w:pPr>
        <w:numPr>
          <w:ilvl w:val="0"/>
          <w:numId w:val="9"/>
        </w:numPr>
        <w:pBdr>
          <w:top w:val="nil"/>
          <w:left w:val="nil"/>
          <w:bottom w:val="nil"/>
          <w:right w:val="nil"/>
          <w:between w:val="nil"/>
        </w:pBdr>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proceda ao saneamento das irregularidades identificadas, quando for o caso; e/ou</w:t>
      </w:r>
    </w:p>
    <w:p w:rsidR="007204EB" w:rsidRDefault="004E2D88">
      <w:pPr>
        <w:numPr>
          <w:ilvl w:val="0"/>
          <w:numId w:val="9"/>
        </w:numPr>
        <w:pBdr>
          <w:top w:val="nil"/>
          <w:left w:val="nil"/>
          <w:bottom w:val="nil"/>
          <w:right w:val="nil"/>
          <w:between w:val="nil"/>
        </w:pBdr>
        <w:spacing w:line="276" w:lineRule="auto"/>
        <w:ind w:left="-992" w:right="-837" w:firstLine="0"/>
        <w:jc w:val="both"/>
        <w:rPr>
          <w:rFonts w:ascii="Arial" w:eastAsia="Arial" w:hAnsi="Arial" w:cs="Arial"/>
          <w:sz w:val="22"/>
          <w:szCs w:val="22"/>
        </w:rPr>
      </w:pPr>
      <w:r>
        <w:rPr>
          <w:rFonts w:ascii="Arial" w:eastAsia="Arial" w:hAnsi="Arial" w:cs="Arial"/>
          <w:color w:val="000000"/>
          <w:sz w:val="22"/>
          <w:szCs w:val="22"/>
        </w:rPr>
        <w:t>proceda ao ressarcimento do débito, observado o disposto nos §§ 1º a 3º do art. 44 deste Decreto.</w:t>
      </w:r>
    </w:p>
    <w:p w:rsidR="007204EB" w:rsidRDefault="007204EB">
      <w:pP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 xml:space="preserve">Caberá ao Concedente observar o procedimento de análise da prestação de contas previsto nos arts. 54 a 60 </w:t>
      </w:r>
      <w:r>
        <w:rPr>
          <w:rFonts w:ascii="Arial" w:eastAsia="Arial" w:hAnsi="Arial" w:cs="Arial"/>
          <w:color w:val="000000"/>
          <w:sz w:val="22"/>
          <w:szCs w:val="22"/>
        </w:rPr>
        <w:t>do Decreto nº 1.196, de 2017.</w:t>
      </w:r>
    </w:p>
    <w:p w:rsidR="007204EB" w:rsidRDefault="007204EB">
      <w:pPr>
        <w:spacing w:line="276" w:lineRule="auto"/>
        <w:ind w:left="-992" w:right="-837"/>
        <w:jc w:val="both"/>
        <w:rPr>
          <w:rFonts w:ascii="Arial" w:eastAsia="Arial" w:hAnsi="Arial" w:cs="Arial"/>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SEXTA - DAS SANÇÕES ADMINISTRATIVAS</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both"/>
        <w:rPr>
          <w:rFonts w:ascii="Arial" w:eastAsia="Arial" w:hAnsi="Arial" w:cs="Arial"/>
          <w:color w:val="000000"/>
          <w:sz w:val="22"/>
          <w:szCs w:val="22"/>
        </w:rPr>
      </w:pPr>
      <w:r>
        <w:rPr>
          <w:rFonts w:ascii="Arial" w:eastAsia="Arial" w:hAnsi="Arial" w:cs="Arial"/>
          <w:color w:val="000000"/>
          <w:sz w:val="22"/>
          <w:szCs w:val="22"/>
        </w:rPr>
        <w:t>Quando a execução da parceria estiver em desacordo com o plano de trabalho e com as normas da Lei nº 13.019, de 2004, do Decreto nº 1.196, de 2017, e da legislação específica, o Concedente poderá</w:t>
      </w:r>
      <w:r>
        <w:rPr>
          <w:rFonts w:ascii="Arial" w:eastAsia="Arial" w:hAnsi="Arial" w:cs="Arial"/>
          <w:sz w:val="22"/>
          <w:szCs w:val="22"/>
        </w:rPr>
        <w:t>, garantida a prévia defesa,</w:t>
      </w:r>
      <w:r>
        <w:rPr>
          <w:rFonts w:ascii="Arial" w:eastAsia="Arial" w:hAnsi="Arial" w:cs="Arial"/>
          <w:color w:val="000000"/>
          <w:sz w:val="22"/>
          <w:szCs w:val="22"/>
        </w:rPr>
        <w:t xml:space="preserve"> aplicar à Parceira as seguintes sanções:</w:t>
      </w:r>
    </w:p>
    <w:p w:rsidR="007204EB" w:rsidRDefault="007204EB">
      <w:pPr>
        <w:pBdr>
          <w:top w:val="nil"/>
          <w:left w:val="nil"/>
          <w:bottom w:val="nil"/>
          <w:right w:val="nil"/>
          <w:between w:val="nil"/>
        </w:pBdr>
        <w:tabs>
          <w:tab w:val="left" w:pos="426"/>
        </w:tabs>
        <w:spacing w:line="276" w:lineRule="auto"/>
        <w:ind w:left="-992" w:right="-837"/>
        <w:jc w:val="both"/>
        <w:rPr>
          <w:rFonts w:ascii="Arial" w:eastAsia="Arial" w:hAnsi="Arial" w:cs="Arial"/>
          <w:color w:val="000000"/>
          <w:sz w:val="22"/>
          <w:szCs w:val="22"/>
        </w:rPr>
      </w:pPr>
    </w:p>
    <w:p w:rsidR="007204EB" w:rsidRDefault="004E2D88">
      <w:pPr>
        <w:numPr>
          <w:ilvl w:val="0"/>
          <w:numId w:val="10"/>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advertência;</w:t>
      </w:r>
    </w:p>
    <w:p w:rsidR="007204EB" w:rsidRDefault="004E2D88">
      <w:pPr>
        <w:numPr>
          <w:ilvl w:val="0"/>
          <w:numId w:val="10"/>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temporária da participação em chamamento público e impedimento de celebrar parceria ou contrato com órgãos e entidades da Administração Pública Estadual, por prazo não superior a 2 (dois) anos; e</w:t>
      </w:r>
    </w:p>
    <w:p w:rsidR="007204EB" w:rsidRDefault="004E2D88">
      <w:pPr>
        <w:numPr>
          <w:ilvl w:val="0"/>
          <w:numId w:val="10"/>
        </w:numPr>
        <w:pBdr>
          <w:top w:val="nil"/>
          <w:left w:val="nil"/>
          <w:bottom w:val="nil"/>
          <w:right w:val="nil"/>
          <w:between w:val="nil"/>
        </w:pBdr>
        <w:tabs>
          <w:tab w:val="left" w:pos="426"/>
        </w:tabs>
        <w:spacing w:line="276" w:lineRule="auto"/>
        <w:ind w:left="-992" w:right="-837" w:firstLine="0"/>
        <w:jc w:val="both"/>
        <w:rPr>
          <w:rFonts w:ascii="Arial" w:eastAsia="Arial" w:hAnsi="Arial" w:cs="Arial"/>
          <w:color w:val="000000"/>
          <w:sz w:val="22"/>
          <w:szCs w:val="22"/>
        </w:rPr>
      </w:pPr>
      <w:r>
        <w:rPr>
          <w:rFonts w:ascii="Arial" w:eastAsia="Arial" w:hAnsi="Arial" w:cs="Arial"/>
          <w:color w:val="000000"/>
          <w:sz w:val="22"/>
          <w:szCs w:val="22"/>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o Concedente, que será </w:t>
      </w:r>
      <w:r>
        <w:rPr>
          <w:rFonts w:ascii="Arial" w:eastAsia="Arial" w:hAnsi="Arial" w:cs="Arial"/>
          <w:color w:val="000000"/>
          <w:sz w:val="22"/>
          <w:szCs w:val="22"/>
        </w:rPr>
        <w:lastRenderedPageBreak/>
        <w:t>concedida sempre que a Parceira ressarcir ao erário pelos prejuízos resultantes e após decorrido o prazo de 2 (dois) anos da aplicação da sanção de declaração de inidoneidade.</w:t>
      </w:r>
    </w:p>
    <w:p w:rsidR="007204EB" w:rsidRDefault="007204EB">
      <w:pPr>
        <w:pBdr>
          <w:top w:val="nil"/>
          <w:left w:val="nil"/>
          <w:bottom w:val="nil"/>
          <w:right w:val="nil"/>
          <w:between w:val="nil"/>
        </w:pBdr>
        <w:tabs>
          <w:tab w:val="left" w:pos="426"/>
        </w:tabs>
        <w:spacing w:line="276" w:lineRule="auto"/>
        <w:ind w:left="-992" w:right="-837"/>
        <w:jc w:val="both"/>
        <w:rPr>
          <w:rFonts w:ascii="Arial" w:eastAsia="Arial" w:hAnsi="Arial" w:cs="Arial"/>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única. </w:t>
      </w:r>
      <w:r>
        <w:rPr>
          <w:rFonts w:ascii="Arial" w:eastAsia="Arial" w:hAnsi="Arial" w:cs="Arial"/>
          <w:color w:val="000000"/>
          <w:sz w:val="22"/>
          <w:szCs w:val="22"/>
        </w:rPr>
        <w:t>Aplicam-se as disposições previstas no art. 61 e 62 do Decreto nº 1.196, de 2017, sem prejuízo ao disposto na legislação específica.</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b/>
          <w:strike/>
          <w:color w:val="000000"/>
          <w:sz w:val="22"/>
          <w:szCs w:val="22"/>
        </w:rPr>
      </w:pPr>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SÉTIMA - DA PROTEÇÃO DE DADOS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b/>
          <w:strike/>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Primeira. </w:t>
      </w:r>
      <w:r>
        <w:rPr>
          <w:rFonts w:ascii="Arial" w:eastAsia="Arial" w:hAnsi="Arial" w:cs="Arial"/>
          <w:color w:val="000000"/>
          <w:sz w:val="22"/>
          <w:szCs w:val="22"/>
        </w:rPr>
        <w:t>A OSC somente poderá tratar dados pessoais dos usuários dos serviços contratados, nos limites e finalidades exclusivas do cumprimento de suas obrigações com base no presente contrato e jamais para qualquer outra finalidade.</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Segunda. </w:t>
      </w:r>
      <w:r>
        <w:rPr>
          <w:rFonts w:ascii="Arial" w:eastAsia="Arial" w:hAnsi="Arial" w:cs="Arial"/>
          <w:color w:val="000000"/>
          <w:sz w:val="22"/>
          <w:szCs w:val="22"/>
        </w:rPr>
        <w:t>A OSC se certificará de que seus empregados, representantes, e prepostos agirão de acordo com o presente contrato e com as leis de proteção de dados e eventuais instruções transmitidas pela Concedente sobre a presente cláusula, comprometendo-se a manter o sigilo e a confidencialidade dos dados pessoais e dos dados pessoais sensíveis repassados em decorrência da execução do objeto contratual, em consonância com o disposto na Lei nº 13.709/2018 (Lei Geral de Proteção de Dados Pessoais - LGPD), certificando-se  A  OSC de que seus empregados, representantes, e prepostos assumam compromisso de confidencialidade ou estejam sujeitos a obrigações legais de confidencialidade.</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Terceira. </w:t>
      </w:r>
      <w:r>
        <w:rPr>
          <w:rFonts w:ascii="Arial" w:eastAsia="Arial" w:hAnsi="Arial" w:cs="Arial"/>
          <w:color w:val="000000"/>
          <w:sz w:val="22"/>
          <w:szCs w:val="22"/>
        </w:rPr>
        <w:t>Se o titular dos dados ou terceiros solicitarem informações à Contratada relativas ao tratamento de dados pessoais que detiver em decorrência do presente contrato,  a OSC submeterá esse pedido à apreciação da Concedente, não podendo, sem instruções prévias da Concedente, transferir, comparti- 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OSC informará imediatamente à Concedente sobre tal pedido e suas decorrências.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Quarta. </w:t>
      </w:r>
      <w:r>
        <w:rPr>
          <w:rFonts w:ascii="Arial" w:eastAsia="Arial" w:hAnsi="Arial" w:cs="Arial"/>
          <w:color w:val="000000"/>
          <w:sz w:val="22"/>
          <w:szCs w:val="22"/>
        </w:rPr>
        <w:t>A OSC prestará assistência à Concedente no cumprimento das obrigações previstas nas leis de proteção de dados, quando relacionadas ao objeto contratual, especialmente nos casos em que for necessária a assistência da OSC para que a Concedente cumpra suas obrigações, incluindo aquelas relativas à segurança do tratamento, violações de dados pessoais, avaliação de impacto de proteção de dados, e consulta prévia a autoridades de proteção de dados, incluindo pedidos de acesso, retificação, bloqueio, restrição, apagamento, portabilidade de dados, ou o exercício de quaisquer outros direitos dos titulares de dados com base nas Leis Aplicáveis à Proteção de Dados.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Quinta. </w:t>
      </w:r>
      <w:r>
        <w:rPr>
          <w:rFonts w:ascii="Arial" w:eastAsia="Arial" w:hAnsi="Arial" w:cs="Arial"/>
          <w:color w:val="000000"/>
          <w:sz w:val="22"/>
          <w:szCs w:val="22"/>
        </w:rPr>
        <w:t>Quando solicitada, OSC fornecerá à Concedente, no prazo de 2 (dois) dias úteis, todas as informações necessárias para comprovar a conformidade das obrigações da OSC previstas neste contrato com as leis de proteção de dados, inclusive para fins de elaboração de relatórios de impacto de proteção e riscos de uso de dados pessoais.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Subcláusula Sexta.</w:t>
      </w:r>
      <w:r>
        <w:rPr>
          <w:rFonts w:ascii="Arial" w:eastAsia="Arial" w:hAnsi="Arial" w:cs="Arial"/>
          <w:color w:val="000000"/>
          <w:sz w:val="22"/>
          <w:szCs w:val="22"/>
        </w:rPr>
        <w:t xml:space="preserve"> A OSC prestará assistência à Concedente no cumprimento de suas outras obrigações de acordo com as leis de proteção de dados nos casos em que estiver implícita a assistência </w:t>
      </w:r>
      <w:r>
        <w:rPr>
          <w:rFonts w:ascii="Arial" w:eastAsia="Arial" w:hAnsi="Arial" w:cs="Arial"/>
          <w:color w:val="000000"/>
          <w:sz w:val="22"/>
          <w:szCs w:val="22"/>
        </w:rPr>
        <w:lastRenderedPageBreak/>
        <w:t>da OSC e/ ou nos casos em que for necessária a assistência da OSC para que a Concedente cumpra suas obrigações, incluindo aquelas relativas à segurança do tratamento, violações de dados pessoais, avaliação de impacto de proteção de dados, e consulta prévia a autoridades de proteção de dados.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Sétima. </w:t>
      </w:r>
      <w:r>
        <w:rPr>
          <w:rFonts w:ascii="Arial" w:eastAsia="Arial" w:hAnsi="Arial" w:cs="Arial"/>
          <w:color w:val="000000"/>
          <w:sz w:val="22"/>
          <w:szCs w:val="22"/>
        </w:rPr>
        <w:t>A OSC fica obrigada a comunicar à Concedente, por escrito, em até 2 (dois) dias úteis a contar do momento em que tomou ciência da violação, ou em menor prazo, se assim vier a recomendar ou determinar a Autoridade Nacional de Proteção de Dados - ANPD,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Oitava. </w:t>
      </w:r>
      <w:r>
        <w:rPr>
          <w:rFonts w:ascii="Arial" w:eastAsia="Arial" w:hAnsi="Arial" w:cs="Arial"/>
          <w:color w:val="000000"/>
          <w:sz w:val="22"/>
          <w:szCs w:val="22"/>
        </w:rPr>
        <w:t>A OSC indenizará a Concedente, em razão do não cumprimento por parte da OSC das obrigações previstas nas leis, normas, regulamentos e recomendações das autoridades de proteção de dados com relação ao presente contrato, de quaisquer danos, prejuízos, custos e despesas, incluindo-se honorários advocatícios, multas, penalidades e eventuais dispêndios investigativos relativos a demandas administrativas ou judiciais propostas em face da Concedente a esse título.</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OITAVA – CLÁUSULA ANTICORRUPÇÃO</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b/>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sz w:val="22"/>
          <w:szCs w:val="22"/>
        </w:rPr>
      </w:pPr>
      <w:r>
        <w:rPr>
          <w:rFonts w:ascii="Arial" w:eastAsia="Arial" w:hAnsi="Arial" w:cs="Arial"/>
          <w:sz w:val="22"/>
          <w:szCs w:val="22"/>
        </w:rPr>
        <w:t>Os partícipes, por seus agentes, servidores e contratados:</w:t>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sz w:val="22"/>
          <w:szCs w:val="22"/>
        </w:rPr>
      </w:pPr>
      <w:r>
        <w:rPr>
          <w:rFonts w:ascii="Arial" w:eastAsia="Arial" w:hAnsi="Arial" w:cs="Arial"/>
          <w:sz w:val="22"/>
          <w:szCs w:val="22"/>
        </w:rPr>
        <w:t>I. Declaram que têm conhecimento das normas previstas na legislação, entre as quais a Lei nº 8.429, de 02 de julho de 1992, e a Lei nº 12.846, de 1º de outubro de 2013, seus regulamentos e outras eventualmente aplicáveis;</w:t>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sz w:val="22"/>
          <w:szCs w:val="22"/>
        </w:rPr>
      </w:pPr>
      <w:r>
        <w:rPr>
          <w:rFonts w:ascii="Arial" w:eastAsia="Arial" w:hAnsi="Arial" w:cs="Arial"/>
          <w:sz w:val="22"/>
          <w:szCs w:val="22"/>
        </w:rPr>
        <w:t>II. Comprometem-se em não adotar práticas ou procedimentos que se enquadrem nas hipóteses previstas nas leis e regulamentos mencionados no inciso I desta cláusula e se comprometem em exigir o mesmo pelos terceiros por elas contratados;</w:t>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sz w:val="22"/>
          <w:szCs w:val="22"/>
        </w:rPr>
      </w:pPr>
      <w:r>
        <w:rPr>
          <w:rFonts w:ascii="Arial" w:eastAsia="Arial" w:hAnsi="Arial" w:cs="Arial"/>
          <w:sz w:val="22"/>
          <w:szCs w:val="22"/>
        </w:rPr>
        <w:t>III. Comprometem-se em notificar a Controladoria-Geral do Estado qualquer irregularidade que tiverem conhecimento acerca da execução do convênio e de qualquer contratação com ele relacionado;</w:t>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sz w:val="22"/>
          <w:szCs w:val="22"/>
        </w:rPr>
      </w:pPr>
      <w:r>
        <w:rPr>
          <w:rFonts w:ascii="Arial" w:eastAsia="Arial" w:hAnsi="Arial" w:cs="Arial"/>
          <w:sz w:val="22"/>
          <w:szCs w:val="22"/>
        </w:rPr>
        <w:t>IV. Declaram que têm ciência que a violação de qualquer das obrigações previstas na Instrução Normativa Conjunta CGE/SEA nº 1, de 26/03/2020, além de outras, é causa para a rescisão unilateral do convênio, sem prejuízo da cobrança e responsabilização das perdas e danos, inclusive danos potenciais, causados ao partícipe inocente.</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sz w:val="22"/>
          <w:szCs w:val="22"/>
        </w:rPr>
      </w:pP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b/>
          <w:sz w:val="22"/>
          <w:szCs w:val="22"/>
        </w:rPr>
      </w:pPr>
      <w:bookmarkStart w:id="1" w:name="bookmark=id.3dy6vkm" w:colFirst="0" w:colLast="0"/>
      <w:bookmarkStart w:id="2" w:name="bookmark=id.tyjcwt" w:colFirst="0" w:colLast="0"/>
      <w:bookmarkEnd w:id="1"/>
      <w:bookmarkEnd w:id="2"/>
    </w:p>
    <w:p w:rsidR="007204EB" w:rsidRDefault="004E2D88">
      <w:pPr>
        <w:spacing w:line="276" w:lineRule="auto"/>
        <w:ind w:left="-992" w:right="-837"/>
        <w:jc w:val="both"/>
        <w:rPr>
          <w:rFonts w:ascii="Arial" w:eastAsia="Arial" w:hAnsi="Arial" w:cs="Arial"/>
          <w:b/>
          <w:sz w:val="22"/>
          <w:szCs w:val="22"/>
        </w:rPr>
      </w:pPr>
      <w:r>
        <w:rPr>
          <w:rFonts w:ascii="Arial" w:eastAsia="Arial" w:hAnsi="Arial" w:cs="Arial"/>
          <w:b/>
          <w:sz w:val="22"/>
          <w:szCs w:val="22"/>
        </w:rPr>
        <w:t>CLÁUSULA DÉCIMA NONA – DA DIVULGAÇÃO</w:t>
      </w:r>
    </w:p>
    <w:p w:rsidR="007204EB" w:rsidRDefault="007204EB">
      <w:pPr>
        <w:spacing w:line="276" w:lineRule="auto"/>
        <w:ind w:left="-992" w:right="-837"/>
        <w:jc w:val="both"/>
        <w:rPr>
          <w:rFonts w:ascii="Arial" w:eastAsia="Arial" w:hAnsi="Arial" w:cs="Arial"/>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rPr>
        <w:t>Em razão do presente Termo de Fomento, a   obriga a mencionar em todos os seus atos de promoção e divulgação do objeto desta parceria, por qualquer meio ou forma, a participação do Governo de Santa Catarina e do Concedente, de acordo com o Manual da Marca Da Administração Pública Estadual (Decreto n</w:t>
      </w:r>
      <w:r>
        <w:rPr>
          <w:rFonts w:ascii="Arial" w:eastAsia="Arial" w:hAnsi="Arial" w:cs="Arial"/>
          <w:sz w:val="22"/>
          <w:szCs w:val="22"/>
        </w:rPr>
        <w:t xml:space="preserve">º </w:t>
      </w:r>
      <w:r>
        <w:rPr>
          <w:rFonts w:ascii="Arial" w:eastAsia="Arial" w:hAnsi="Arial" w:cs="Arial"/>
          <w:color w:val="000000"/>
          <w:sz w:val="22"/>
          <w:szCs w:val="22"/>
        </w:rPr>
        <w:t>117/20</w:t>
      </w:r>
      <w:r>
        <w:rPr>
          <w:rFonts w:ascii="Arial" w:eastAsia="Arial" w:hAnsi="Arial" w:cs="Arial"/>
          <w:color w:val="000000"/>
          <w:sz w:val="22"/>
          <w:szCs w:val="22"/>
          <w:highlight w:val="white"/>
        </w:rPr>
        <w:t>23)</w:t>
      </w:r>
      <w:r>
        <w:rPr>
          <w:rFonts w:ascii="Arial" w:eastAsia="Arial" w:hAnsi="Arial" w:cs="Arial"/>
          <w:sz w:val="22"/>
          <w:szCs w:val="22"/>
          <w:highlight w:val="white"/>
        </w:rPr>
        <w:t>.</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r>
        <w:rPr>
          <w:rFonts w:ascii="Arial" w:eastAsia="Arial" w:hAnsi="Arial" w:cs="Arial"/>
          <w:b/>
          <w:color w:val="000000"/>
          <w:sz w:val="22"/>
          <w:szCs w:val="22"/>
        </w:rPr>
        <w:t xml:space="preserve">Subcláusula única. </w:t>
      </w:r>
      <w:r>
        <w:rPr>
          <w:rFonts w:ascii="Arial" w:eastAsia="Arial" w:hAnsi="Arial" w:cs="Arial"/>
          <w:color w:val="000000"/>
          <w:sz w:val="22"/>
          <w:szCs w:val="22"/>
        </w:rPr>
        <w:t>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rPr>
      </w:pPr>
    </w:p>
    <w:p w:rsidR="007204EB" w:rsidRDefault="004E2D88">
      <w:pPr>
        <w:spacing w:line="276" w:lineRule="auto"/>
        <w:ind w:left="-992" w:right="-837"/>
        <w:jc w:val="both"/>
        <w:rPr>
          <w:rFonts w:ascii="Arial" w:eastAsia="Arial" w:hAnsi="Arial" w:cs="Arial"/>
          <w:b/>
          <w:sz w:val="22"/>
          <w:szCs w:val="22"/>
          <w:highlight w:val="white"/>
        </w:rPr>
      </w:pPr>
      <w:r>
        <w:rPr>
          <w:rFonts w:ascii="Arial" w:eastAsia="Arial" w:hAnsi="Arial" w:cs="Arial"/>
          <w:b/>
          <w:sz w:val="22"/>
          <w:szCs w:val="22"/>
        </w:rPr>
        <w:t>CLÁUSULA VIGÉSIMA – DA PUBLICAÇÃO</w:t>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b/>
      </w:r>
      <w:r>
        <w:rPr>
          <w:rFonts w:ascii="Arial" w:eastAsia="Arial" w:hAnsi="Arial" w:cs="Arial"/>
          <w:color w:val="000000"/>
          <w:sz w:val="22"/>
          <w:szCs w:val="22"/>
          <w:highlight w:val="white"/>
        </w:rPr>
        <w:tab/>
      </w:r>
    </w:p>
    <w:p w:rsidR="007204EB" w:rsidRDefault="004E2D88">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 eficácia do presente Termo de Fomento e dos termos aditivos fica condicionada à publicação do respectivo extrato no Diário Oficial do Estado, q</w:t>
      </w:r>
      <w:r>
        <w:rPr>
          <w:rFonts w:ascii="Arial" w:eastAsia="Arial" w:hAnsi="Arial" w:cs="Arial"/>
          <w:sz w:val="22"/>
          <w:szCs w:val="22"/>
          <w:highlight w:val="white"/>
        </w:rPr>
        <w:t>ue</w:t>
      </w:r>
      <w:r>
        <w:rPr>
          <w:rFonts w:ascii="Arial" w:eastAsia="Arial" w:hAnsi="Arial" w:cs="Arial"/>
          <w:color w:val="000000"/>
          <w:sz w:val="22"/>
          <w:szCs w:val="22"/>
          <w:highlight w:val="white"/>
        </w:rPr>
        <w:t xml:space="preserve"> deverá ser providenciada pelo Concedente no prazo de até 20 (vinte) dias contados da assinatura do instrumento. </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color w:val="000000"/>
          <w:sz w:val="22"/>
          <w:szCs w:val="22"/>
          <w:highlight w:val="white"/>
        </w:rPr>
      </w:pPr>
    </w:p>
    <w:p w:rsidR="007204EB" w:rsidRDefault="004E2D88">
      <w:pPr>
        <w:spacing w:line="276" w:lineRule="auto"/>
        <w:ind w:left="-992" w:right="-837"/>
        <w:jc w:val="both"/>
        <w:rPr>
          <w:rFonts w:ascii="Arial" w:eastAsia="Arial" w:hAnsi="Arial" w:cs="Arial"/>
          <w:b/>
          <w:sz w:val="22"/>
          <w:szCs w:val="22"/>
          <w:highlight w:val="white"/>
        </w:rPr>
      </w:pPr>
      <w:r>
        <w:rPr>
          <w:rFonts w:ascii="Arial" w:eastAsia="Arial" w:hAnsi="Arial" w:cs="Arial"/>
          <w:b/>
          <w:sz w:val="22"/>
          <w:szCs w:val="22"/>
          <w:highlight w:val="white"/>
        </w:rPr>
        <w:t>CLÁUSULA VIGÉSIMA PRIMEIRA – DA CONCILIAÇÃO E DO FORO</w:t>
      </w:r>
    </w:p>
    <w:p w:rsidR="007204EB" w:rsidRDefault="007204EB">
      <w:pPr>
        <w:spacing w:line="276" w:lineRule="auto"/>
        <w:ind w:left="-992" w:right="-837"/>
        <w:jc w:val="both"/>
        <w:rPr>
          <w:rFonts w:ascii="Arial" w:eastAsia="Arial" w:hAnsi="Arial" w:cs="Arial"/>
          <w:b/>
          <w:sz w:val="22"/>
          <w:szCs w:val="22"/>
          <w:highlight w:val="white"/>
        </w:rPr>
      </w:pPr>
    </w:p>
    <w:p w:rsidR="007204EB" w:rsidRDefault="004E2D88">
      <w:pP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As controvérsias decorrentes da execução do presente Termo de </w:t>
      </w:r>
      <w:r>
        <w:rPr>
          <w:rFonts w:ascii="Arial" w:eastAsia="Arial" w:hAnsi="Arial" w:cs="Arial"/>
          <w:sz w:val="22"/>
          <w:szCs w:val="22"/>
          <w:highlight w:val="white"/>
        </w:rPr>
        <w:t>Fomento</w:t>
      </w:r>
      <w:r>
        <w:rPr>
          <w:rFonts w:ascii="Arial" w:eastAsia="Arial" w:hAnsi="Arial" w:cs="Arial"/>
          <w:color w:val="000000"/>
          <w:sz w:val="22"/>
          <w:szCs w:val="22"/>
          <w:highlight w:val="white"/>
        </w:rPr>
        <w:t xml:space="preserve"> que não puderem ser solucionadas diretamente por mútuo acordo entre os partícipes deverão ser encaminhadas ao órgão de consultoria e assessoramento jurídico do Concedente, sob a coordenação e supervisão da Procuradoria Geral do Estado, para prévia tentativa de conciliação e solução administrativa de dúvidas decorrentes da execução da parceria.</w:t>
      </w:r>
    </w:p>
    <w:p w:rsidR="007204EB" w:rsidRDefault="004E2D88">
      <w:pP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w:t>
      </w:r>
    </w:p>
    <w:p w:rsidR="007204EB" w:rsidRDefault="004E2D88">
      <w:pPr>
        <w:spacing w:line="276" w:lineRule="auto"/>
        <w:ind w:left="-992" w:right="-837"/>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Subcláusula Única.</w:t>
      </w:r>
      <w:r>
        <w:rPr>
          <w:rFonts w:ascii="Arial" w:eastAsia="Arial" w:hAnsi="Arial" w:cs="Arial"/>
          <w:color w:val="000000"/>
          <w:sz w:val="22"/>
          <w:szCs w:val="22"/>
          <w:highlight w:val="white"/>
        </w:rPr>
        <w:t xml:space="preserve"> Não logrando êxito a tentativa de conciliação e solução administrativa, será competente para dirimir as questões decorrentes deste Termo de </w:t>
      </w:r>
      <w:r>
        <w:rPr>
          <w:rFonts w:ascii="Arial" w:eastAsia="Arial" w:hAnsi="Arial" w:cs="Arial"/>
          <w:sz w:val="22"/>
          <w:szCs w:val="22"/>
          <w:highlight w:val="white"/>
        </w:rPr>
        <w:t xml:space="preserve">Fomento </w:t>
      </w:r>
      <w:r>
        <w:rPr>
          <w:rFonts w:ascii="Arial" w:eastAsia="Arial" w:hAnsi="Arial" w:cs="Arial"/>
          <w:color w:val="000000"/>
          <w:sz w:val="22"/>
          <w:szCs w:val="22"/>
          <w:highlight w:val="white"/>
        </w:rPr>
        <w:t>o foro da Comarca com abrangência no município da sede do Concedente</w:t>
      </w:r>
      <w:r>
        <w:rPr>
          <w:rFonts w:ascii="Arial" w:eastAsia="Arial" w:hAnsi="Arial" w:cs="Arial"/>
          <w:sz w:val="22"/>
          <w:szCs w:val="22"/>
          <w:highlight w:val="white"/>
        </w:rPr>
        <w:t xml:space="preserve"> (desta parceria o foro da Comarca do Município de Florianópolis).</w:t>
      </w:r>
    </w:p>
    <w:p w:rsidR="007204EB" w:rsidRDefault="007204EB">
      <w:pPr>
        <w:spacing w:line="276" w:lineRule="auto"/>
        <w:ind w:left="-992" w:right="-837"/>
        <w:jc w:val="both"/>
        <w:rPr>
          <w:rFonts w:ascii="Arial" w:eastAsia="Arial" w:hAnsi="Arial" w:cs="Arial"/>
          <w:color w:val="000000"/>
          <w:sz w:val="22"/>
          <w:szCs w:val="22"/>
          <w:highlight w:val="white"/>
        </w:rPr>
      </w:pPr>
    </w:p>
    <w:p w:rsidR="007204EB" w:rsidRDefault="004E2D88">
      <w:pPr>
        <w:spacing w:line="276" w:lineRule="auto"/>
        <w:ind w:left="-992" w:right="-837"/>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rsidR="007204EB" w:rsidRDefault="007204EB">
      <w:pPr>
        <w:spacing w:line="276" w:lineRule="auto"/>
        <w:ind w:left="-992" w:right="-837"/>
        <w:jc w:val="both"/>
        <w:rPr>
          <w:rFonts w:ascii="Arial" w:eastAsia="Arial" w:hAnsi="Arial" w:cs="Arial"/>
          <w:b/>
          <w:sz w:val="22"/>
          <w:szCs w:val="22"/>
        </w:rPr>
      </w:pPr>
    </w:p>
    <w:p w:rsidR="007204EB" w:rsidRDefault="004E2D88">
      <w:pPr>
        <w:spacing w:line="276" w:lineRule="auto"/>
        <w:ind w:left="-992" w:right="-837"/>
        <w:jc w:val="center"/>
        <w:rPr>
          <w:rFonts w:ascii="Arial" w:eastAsia="Arial" w:hAnsi="Arial" w:cs="Arial"/>
          <w:sz w:val="22"/>
          <w:szCs w:val="22"/>
        </w:rPr>
      </w:pPr>
      <w:r>
        <w:rPr>
          <w:rFonts w:ascii="Arial" w:eastAsia="Arial" w:hAnsi="Arial" w:cs="Arial"/>
          <w:sz w:val="22"/>
          <w:szCs w:val="22"/>
        </w:rPr>
        <w:t>Florianópolis, data da assinatura eletrônica</w:t>
      </w:r>
    </w:p>
    <w:p w:rsidR="007204EB" w:rsidRDefault="007204EB">
      <w:pPr>
        <w:widowControl w:val="0"/>
        <w:pBdr>
          <w:top w:val="nil"/>
          <w:left w:val="nil"/>
          <w:bottom w:val="nil"/>
          <w:right w:val="nil"/>
          <w:between w:val="nil"/>
        </w:pBdr>
        <w:spacing w:line="276" w:lineRule="auto"/>
        <w:ind w:left="-992" w:right="-837"/>
        <w:jc w:val="both"/>
        <w:rPr>
          <w:rFonts w:ascii="Arial" w:eastAsia="Arial" w:hAnsi="Arial" w:cs="Arial"/>
          <w:b/>
          <w:color w:val="000000"/>
          <w:sz w:val="22"/>
          <w:szCs w:val="22"/>
        </w:rPr>
      </w:pP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b/>
          <w:sz w:val="22"/>
          <w:szCs w:val="22"/>
        </w:rPr>
      </w:pPr>
      <w:r>
        <w:rPr>
          <w:rFonts w:ascii="Arial" w:eastAsia="Arial" w:hAnsi="Arial" w:cs="Arial"/>
          <w:b/>
          <w:sz w:val="22"/>
          <w:szCs w:val="22"/>
        </w:rPr>
        <w:t>Adeliana Dal Pont</w:t>
      </w: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Secretária de Estado da Assistência Social, Mulher e Família</w:t>
      </w: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CONCEDENTE</w:t>
      </w:r>
    </w:p>
    <w:p w:rsidR="007204EB" w:rsidRDefault="007204EB">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p>
    <w:p w:rsidR="007204EB" w:rsidRDefault="007204EB">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b/>
          <w:sz w:val="22"/>
          <w:szCs w:val="22"/>
        </w:rPr>
      </w:pPr>
      <w:r>
        <w:rPr>
          <w:rFonts w:ascii="Arial" w:eastAsia="Arial" w:hAnsi="Arial" w:cs="Arial"/>
          <w:b/>
          <w:sz w:val="22"/>
          <w:szCs w:val="22"/>
        </w:rPr>
        <w:t>[XXXXXX]</w:t>
      </w: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Representante da OSC</w:t>
      </w:r>
    </w:p>
    <w:p w:rsidR="007204EB" w:rsidRDefault="004E2D88">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PARCEIRA</w:t>
      </w:r>
    </w:p>
    <w:p w:rsidR="007204EB" w:rsidRDefault="007204EB">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p>
    <w:p w:rsidR="007204EB" w:rsidRDefault="007204EB">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p>
    <w:p w:rsidR="007204EB" w:rsidRPr="00C10800" w:rsidRDefault="00C10800" w:rsidP="00C10800">
      <w:pPr>
        <w:widowControl w:val="0"/>
        <w:pBdr>
          <w:top w:val="nil"/>
          <w:left w:val="nil"/>
          <w:bottom w:val="nil"/>
          <w:right w:val="nil"/>
          <w:between w:val="nil"/>
        </w:pBdr>
        <w:spacing w:line="276" w:lineRule="auto"/>
        <w:ind w:left="-992" w:right="-837"/>
        <w:jc w:val="center"/>
        <w:rPr>
          <w:rFonts w:ascii="Arial" w:eastAsia="Arial" w:hAnsi="Arial" w:cs="Arial"/>
          <w:sz w:val="22"/>
          <w:szCs w:val="22"/>
        </w:rPr>
      </w:pPr>
      <w:r>
        <w:rPr>
          <w:rFonts w:ascii="Arial" w:eastAsia="Arial" w:hAnsi="Arial" w:cs="Arial"/>
          <w:sz w:val="22"/>
          <w:szCs w:val="22"/>
        </w:rPr>
        <w:t>TESTEMUNHAS</w:t>
      </w:r>
      <w:bookmarkStart w:id="3" w:name="_GoBack"/>
      <w:bookmarkEnd w:id="3"/>
    </w:p>
    <w:sectPr w:rsidR="007204EB" w:rsidRPr="00C10800">
      <w:headerReference w:type="default" r:id="rId9"/>
      <w:footerReference w:type="default" r:id="rId10"/>
      <w:pgSz w:w="11900" w:h="16840"/>
      <w:pgMar w:top="1418" w:right="1559" w:bottom="1418" w:left="2125" w:header="646" w:footer="10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62" w:rsidRDefault="00041F62">
      <w:r>
        <w:separator/>
      </w:r>
    </w:p>
  </w:endnote>
  <w:endnote w:type="continuationSeparator" w:id="0">
    <w:p w:rsidR="00041F62" w:rsidRDefault="0004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88" w:rsidRDefault="004E2D88">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jc w:val="center"/>
      <w:rPr>
        <w:rFonts w:ascii="Arial" w:eastAsia="Arial" w:hAnsi="Arial" w:cs="Arial"/>
        <w:sz w:val="20"/>
        <w:szCs w:val="20"/>
      </w:rPr>
    </w:pPr>
  </w:p>
  <w:p w:rsidR="004E2D88" w:rsidRDefault="004E2D88">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jc w:val="center"/>
      <w:rPr>
        <w:rFonts w:ascii="Arial" w:eastAsia="Arial" w:hAnsi="Arial" w:cs="Arial"/>
        <w:sz w:val="18"/>
        <w:szCs w:val="18"/>
      </w:rPr>
    </w:pPr>
    <w:r>
      <w:rPr>
        <w:rFonts w:ascii="Arial" w:eastAsia="Arial" w:hAnsi="Arial" w:cs="Arial"/>
        <w:sz w:val="18"/>
        <w:szCs w:val="18"/>
      </w:rPr>
      <w:t>Rua Dr. Fúlvio Aducci, 767, Estreito, Florianópolis – SC – CEP: 88.075-001</w:t>
    </w:r>
  </w:p>
  <w:p w:rsidR="004E2D88" w:rsidRDefault="004E2D88">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jc w:val="center"/>
      <w:rPr>
        <w:rFonts w:ascii="Arial" w:eastAsia="Arial" w:hAnsi="Arial" w:cs="Arial"/>
        <w:sz w:val="18"/>
        <w:szCs w:val="18"/>
      </w:rPr>
    </w:pPr>
    <w:r>
      <w:rPr>
        <w:rFonts w:ascii="Arial" w:eastAsia="Arial" w:hAnsi="Arial" w:cs="Arial"/>
        <w:sz w:val="18"/>
        <w:szCs w:val="18"/>
      </w:rPr>
      <w:t>Fone: (48) 3664-0610 - E-mail: cedca@sas.sc.gov.br</w:t>
    </w:r>
  </w:p>
  <w:p w:rsidR="004E2D88" w:rsidRDefault="004E2D88">
    <w:pPr>
      <w:pBdr>
        <w:top w:val="nil"/>
        <w:left w:val="nil"/>
        <w:bottom w:val="nil"/>
        <w:right w:val="nil"/>
        <w:between w:val="nil"/>
      </w:pBdr>
      <w:spacing w:after="120" w:line="14" w:lineRule="auto"/>
      <w:rPr>
        <w:color w:val="000000"/>
        <w:sz w:val="18"/>
        <w:szCs w:val="18"/>
      </w:rPr>
    </w:pPr>
    <w:r>
      <w:rPr>
        <w:noProof/>
        <w:lang w:eastAsia="pt-BR"/>
      </w:rPr>
      <mc:AlternateContent>
        <mc:Choice Requires="wpg">
          <w:drawing>
            <wp:anchor distT="0" distB="0" distL="0" distR="0" simplePos="0" relativeHeight="251659264" behindDoc="1" locked="0" layoutInCell="1" hidden="0" allowOverlap="1">
              <wp:simplePos x="0" y="0"/>
              <wp:positionH relativeFrom="column">
                <wp:posOffset>5384800</wp:posOffset>
              </wp:positionH>
              <wp:positionV relativeFrom="paragraph">
                <wp:posOffset>9867900</wp:posOffset>
              </wp:positionV>
              <wp:extent cx="238125" cy="203835"/>
              <wp:effectExtent l="0" t="0" r="0" b="0"/>
              <wp:wrapNone/>
              <wp:docPr id="286" name="Retângulo 286"/>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rsidR="004E2D88" w:rsidRDefault="004E2D88">
                          <w:pPr>
                            <w:spacing w:before="10" w:after="120"/>
                            <w:ind w:left="60"/>
                            <w:textDirection w:val="btLr"/>
                          </w:pPr>
                          <w:r>
                            <w:rPr>
                              <w:color w:val="000000"/>
                            </w:rPr>
                            <w:t xml:space="preserve"> PAGE 25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5384800</wp:posOffset>
              </wp:positionH>
              <wp:positionV relativeFrom="paragraph">
                <wp:posOffset>9867900</wp:posOffset>
              </wp:positionV>
              <wp:extent cx="238125" cy="203835"/>
              <wp:effectExtent b="0" l="0" r="0" t="0"/>
              <wp:wrapNone/>
              <wp:docPr id="28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62" w:rsidRDefault="00041F62">
      <w:r>
        <w:separator/>
      </w:r>
    </w:p>
  </w:footnote>
  <w:footnote w:type="continuationSeparator" w:id="0">
    <w:p w:rsidR="00041F62" w:rsidRDefault="0004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88" w:rsidRDefault="004E2D88">
    <w:pPr>
      <w:tabs>
        <w:tab w:val="center" w:pos="4945"/>
        <w:tab w:val="right" w:pos="8504"/>
      </w:tabs>
      <w:ind w:left="141" w:right="-553" w:firstLine="283"/>
      <w:rPr>
        <w:rFonts w:ascii="Arial" w:eastAsia="Arial" w:hAnsi="Arial" w:cs="Arial"/>
        <w:sz w:val="20"/>
        <w:szCs w:val="20"/>
      </w:rPr>
    </w:pPr>
    <w:r>
      <w:rPr>
        <w:rFonts w:ascii="Arial" w:eastAsia="Arial" w:hAnsi="Arial" w:cs="Arial"/>
        <w:sz w:val="20"/>
        <w:szCs w:val="20"/>
      </w:rPr>
      <w:t>ESTADO DE SANTA CATARINA</w:t>
    </w:r>
    <w:r>
      <w:rPr>
        <w:noProof/>
        <w:lang w:eastAsia="pt-BR"/>
      </w:rPr>
      <w:drawing>
        <wp:anchor distT="114300" distB="114300" distL="114300" distR="114300" simplePos="0" relativeHeight="251658240" behindDoc="0" locked="0" layoutInCell="1" hidden="0" allowOverlap="1">
          <wp:simplePos x="0" y="0"/>
          <wp:positionH relativeFrom="column">
            <wp:posOffset>-495299</wp:posOffset>
          </wp:positionH>
          <wp:positionV relativeFrom="paragraph">
            <wp:posOffset>-295909</wp:posOffset>
          </wp:positionV>
          <wp:extent cx="695325" cy="800100"/>
          <wp:effectExtent l="0" t="0" r="0" b="0"/>
          <wp:wrapSquare wrapText="bothSides" distT="114300" distB="114300" distL="114300" distR="114300"/>
          <wp:docPr id="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800100"/>
                  </a:xfrm>
                  <a:prstGeom prst="rect">
                    <a:avLst/>
                  </a:prstGeom>
                  <a:ln/>
                </pic:spPr>
              </pic:pic>
            </a:graphicData>
          </a:graphic>
        </wp:anchor>
      </w:drawing>
    </w:r>
  </w:p>
  <w:p w:rsidR="004E2D88" w:rsidRDefault="004E2D88">
    <w:pPr>
      <w:tabs>
        <w:tab w:val="center" w:pos="4945"/>
        <w:tab w:val="right" w:pos="8504"/>
      </w:tabs>
      <w:ind w:left="141" w:right="-553" w:firstLine="283"/>
      <w:rPr>
        <w:rFonts w:ascii="Arial" w:eastAsia="Arial" w:hAnsi="Arial" w:cs="Arial"/>
        <w:sz w:val="20"/>
        <w:szCs w:val="20"/>
      </w:rPr>
    </w:pPr>
    <w:r>
      <w:rPr>
        <w:rFonts w:ascii="Arial" w:eastAsia="Arial" w:hAnsi="Arial" w:cs="Arial"/>
        <w:sz w:val="20"/>
        <w:szCs w:val="20"/>
      </w:rPr>
      <w:t>SECRETARIA DE ESTADO DA ASSISTÊNCIA SOCIAL, MULHER E FAMÍLIA</w:t>
    </w:r>
  </w:p>
  <w:p w:rsidR="004E2D88" w:rsidRDefault="004E2D88">
    <w:pPr>
      <w:tabs>
        <w:tab w:val="center" w:pos="4945"/>
        <w:tab w:val="right" w:pos="8504"/>
      </w:tabs>
      <w:ind w:left="141" w:right="-553" w:firstLine="283"/>
      <w:rPr>
        <w:rFonts w:ascii="Arial" w:eastAsia="Arial" w:hAnsi="Arial" w:cs="Arial"/>
        <w:sz w:val="20"/>
        <w:szCs w:val="20"/>
      </w:rPr>
    </w:pPr>
    <w:r>
      <w:rPr>
        <w:rFonts w:ascii="Arial" w:eastAsia="Arial" w:hAnsi="Arial" w:cs="Arial"/>
        <w:sz w:val="20"/>
        <w:szCs w:val="20"/>
      </w:rPr>
      <w:t>CONSELHO ESTADUAL DOS DIREITOS DA CRIANÇA E DO ADOLESCENTE</w:t>
    </w:r>
  </w:p>
  <w:p w:rsidR="004E2D88" w:rsidRDefault="004E2D88">
    <w:pPr>
      <w:tabs>
        <w:tab w:val="center" w:pos="4945"/>
        <w:tab w:val="right" w:pos="8504"/>
      </w:tabs>
      <w:ind w:left="141" w:right="-553" w:firstLine="283"/>
      <w:rPr>
        <w:rFonts w:ascii="Arial" w:eastAsia="Arial" w:hAnsi="Arial" w:cs="Arial"/>
        <w:sz w:val="20"/>
        <w:szCs w:val="20"/>
      </w:rPr>
    </w:pPr>
  </w:p>
  <w:p w:rsidR="004E2D88" w:rsidRDefault="004E2D88">
    <w:pPr>
      <w:tabs>
        <w:tab w:val="center" w:pos="4945"/>
        <w:tab w:val="right" w:pos="8504"/>
      </w:tabs>
      <w:ind w:left="141" w:right="-553" w:firstLine="283"/>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CE0"/>
    <w:multiLevelType w:val="multilevel"/>
    <w:tmpl w:val="49548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96319"/>
    <w:multiLevelType w:val="multilevel"/>
    <w:tmpl w:val="25906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C47908"/>
    <w:multiLevelType w:val="multilevel"/>
    <w:tmpl w:val="0B448F3C"/>
    <w:lvl w:ilvl="0">
      <w:start w:val="1"/>
      <w:numFmt w:val="upperRoman"/>
      <w:lvlText w:val="%1."/>
      <w:lvlJc w:val="right"/>
      <w:pPr>
        <w:ind w:left="283" w:firstLine="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CC4781C"/>
    <w:multiLevelType w:val="multilevel"/>
    <w:tmpl w:val="45F66DD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40B52A01"/>
    <w:multiLevelType w:val="multilevel"/>
    <w:tmpl w:val="4AB4422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43BB2648"/>
    <w:multiLevelType w:val="multilevel"/>
    <w:tmpl w:val="BB869F8E"/>
    <w:lvl w:ilvl="0">
      <w:start w:val="1"/>
      <w:numFmt w:val="upperRoman"/>
      <w:lvlText w:val="%1."/>
      <w:lvlJc w:val="left"/>
      <w:pPr>
        <w:ind w:left="1429" w:hanging="720"/>
      </w:pPr>
    </w:lvl>
    <w:lvl w:ilvl="1">
      <w:start w:val="1"/>
      <w:numFmt w:val="upperRoman"/>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9CD10B1"/>
    <w:multiLevelType w:val="multilevel"/>
    <w:tmpl w:val="0624011A"/>
    <w:lvl w:ilvl="0">
      <w:start w:val="1"/>
      <w:numFmt w:val="decimal"/>
      <w:pStyle w:val="Nivel0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CF4B1E"/>
    <w:multiLevelType w:val="multilevel"/>
    <w:tmpl w:val="1AC8E0C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5CF61333"/>
    <w:multiLevelType w:val="multilevel"/>
    <w:tmpl w:val="747E7BC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74740C"/>
    <w:multiLevelType w:val="multilevel"/>
    <w:tmpl w:val="8304962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738D3201"/>
    <w:multiLevelType w:val="multilevel"/>
    <w:tmpl w:val="2B92D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2027A2"/>
    <w:multiLevelType w:val="multilevel"/>
    <w:tmpl w:val="6CDE186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15:restartNumberingAfterBreak="0">
    <w:nsid w:val="7E6E1CC2"/>
    <w:multiLevelType w:val="multilevel"/>
    <w:tmpl w:val="D224338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2"/>
  </w:num>
  <w:num w:numId="2">
    <w:abstractNumId w:val="6"/>
  </w:num>
  <w:num w:numId="3">
    <w:abstractNumId w:val="9"/>
  </w:num>
  <w:num w:numId="4">
    <w:abstractNumId w:val="4"/>
  </w:num>
  <w:num w:numId="5">
    <w:abstractNumId w:val="11"/>
  </w:num>
  <w:num w:numId="6">
    <w:abstractNumId w:val="5"/>
  </w:num>
  <w:num w:numId="7">
    <w:abstractNumId w:val="8"/>
  </w:num>
  <w:num w:numId="8">
    <w:abstractNumId w:val="0"/>
  </w:num>
  <w:num w:numId="9">
    <w:abstractNumId w:val="12"/>
  </w:num>
  <w:num w:numId="10">
    <w:abstractNumId w:val="10"/>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EB"/>
    <w:rsid w:val="00041F62"/>
    <w:rsid w:val="004E2D88"/>
    <w:rsid w:val="007204EB"/>
    <w:rsid w:val="00C108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46F2"/>
  <w15:docId w15:val="{99F25FC8-1C11-40E0-9E7E-3DA3E9D3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D6"/>
    <w:pPr>
      <w:suppressAutoHyphens/>
    </w:pPr>
    <w:rPr>
      <w:lang w:eastAsia="ar-SA"/>
    </w:rPr>
  </w:style>
  <w:style w:type="paragraph" w:styleId="Ttulo1">
    <w:name w:val="heading 1"/>
    <w:basedOn w:val="Normal"/>
    <w:next w:val="Normal"/>
    <w:link w:val="Ttulo1Char"/>
    <w:uiPriority w:val="1"/>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qFormat/>
    <w:rsid w:val="00BB23A1"/>
    <w:pPr>
      <w:keepNext/>
      <w:ind w:right="140"/>
      <w:jc w:val="both"/>
      <w:outlineLvl w:val="3"/>
    </w:pPr>
    <w:rPr>
      <w:b/>
      <w:sz w:val="22"/>
      <w:szCs w:val="20"/>
    </w:rPr>
  </w:style>
  <w:style w:type="paragraph" w:styleId="Ttulo5">
    <w:name w:val="heading 5"/>
    <w:basedOn w:val="Normal"/>
    <w:next w:val="Normal"/>
    <w:link w:val="Ttulo5Char"/>
    <w:unhideWhenUsed/>
    <w:qFormat/>
    <w:rsid w:val="00533B3D"/>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link w:val="Ttulo9Char"/>
    <w:qFormat/>
    <w:rsid w:val="00BB23A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
    <w:qFormat/>
    <w:rsid w:val="004F316C"/>
    <w:pPr>
      <w:widowControl w:val="0"/>
      <w:suppressAutoHyphens w:val="0"/>
      <w:autoSpaceDE w:val="0"/>
      <w:autoSpaceDN w:val="0"/>
      <w:spacing w:before="101"/>
      <w:ind w:left="977" w:right="722"/>
      <w:jc w:val="center"/>
    </w:pPr>
    <w:rPr>
      <w:rFonts w:ascii="Comic Sans MS" w:eastAsia="Comic Sans MS" w:hAnsi="Comic Sans MS" w:cs="Comic Sans MS"/>
      <w:b/>
      <w:bCs/>
      <w:sz w:val="28"/>
      <w:szCs w:val="28"/>
      <w:lang w:val="pt-PT" w:eastAsia="en-US"/>
    </w:rPr>
  </w:style>
  <w:style w:type="paragraph" w:styleId="Rodap">
    <w:name w:val="footer"/>
    <w:basedOn w:val="Normal"/>
    <w:link w:val="RodapChar1"/>
    <w:uiPriority w:val="99"/>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iPriority w:val="99"/>
    <w:unhideWhenUsed/>
    <w:rsid w:val="00BE736B"/>
    <w:pPr>
      <w:tabs>
        <w:tab w:val="center" w:pos="4252"/>
        <w:tab w:val="right" w:pos="8504"/>
      </w:tabs>
    </w:pPr>
  </w:style>
  <w:style w:type="character" w:customStyle="1" w:styleId="CabealhoChar">
    <w:name w:val="Cabeçalho Char"/>
    <w:basedOn w:val="Fontepargpadro"/>
    <w:link w:val="Cabealho"/>
    <w:uiPriority w:val="99"/>
    <w:rsid w:val="00BE736B"/>
    <w:rPr>
      <w:rFonts w:ascii="Times New Roman" w:eastAsia="Times New Roman" w:hAnsi="Times New Roman" w:cs="Times New Roman"/>
      <w:sz w:val="24"/>
      <w:szCs w:val="24"/>
      <w:lang w:eastAsia="ar-SA"/>
    </w:rPr>
  </w:style>
  <w:style w:type="character" w:styleId="Hyperlink">
    <w:name w:val="Hyperlink"/>
    <w:uiPriority w:val="99"/>
    <w:rsid w:val="004F2D1B"/>
    <w:rPr>
      <w:rFonts w:cs="Times New Roman"/>
      <w:color w:val="0000FF"/>
      <w:u w:val="single"/>
    </w:rPr>
  </w:style>
  <w:style w:type="character" w:customStyle="1" w:styleId="apple-converted-space">
    <w:name w:val="apple-converted-space"/>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2"/>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1"/>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uiPriority w:val="39"/>
    <w:rsid w:val="00D24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DC575A"/>
    <w:pPr>
      <w:ind w:left="720"/>
      <w:contextualSpacing/>
    </w:pPr>
  </w:style>
  <w:style w:type="paragraph" w:styleId="Textodebalo">
    <w:name w:val="Balloon Text"/>
    <w:basedOn w:val="Normal"/>
    <w:link w:val="TextodebaloChar"/>
    <w:uiPriority w:val="99"/>
    <w:unhideWhenUsed/>
    <w:rsid w:val="00BB54A8"/>
    <w:rPr>
      <w:rFonts w:ascii="Tahoma" w:hAnsi="Tahoma" w:cs="Tahoma"/>
      <w:sz w:val="16"/>
      <w:szCs w:val="16"/>
    </w:rPr>
  </w:style>
  <w:style w:type="character" w:customStyle="1" w:styleId="TextodebaloChar">
    <w:name w:val="Texto de balão Char"/>
    <w:basedOn w:val="Fontepargpadro"/>
    <w:link w:val="Textodebalo"/>
    <w:uiPriority w:val="99"/>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unhideWhenUsed/>
    <w:rsid w:val="001C7E86"/>
    <w:rPr>
      <w:sz w:val="20"/>
      <w:szCs w:val="20"/>
    </w:rPr>
  </w:style>
  <w:style w:type="character" w:customStyle="1" w:styleId="TextodecomentrioChar">
    <w:name w:val="Texto de comentário Char"/>
    <w:basedOn w:val="Fontepargpadro"/>
    <w:link w:val="Textodecomentrio"/>
    <w:uiPriority w:val="99"/>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semiHidden/>
    <w:unhideWhenUsed/>
    <w:rsid w:val="001C7E86"/>
    <w:rPr>
      <w:b/>
      <w:bCs/>
    </w:rPr>
  </w:style>
  <w:style w:type="character" w:customStyle="1" w:styleId="AssuntodocomentrioChar">
    <w:name w:val="Assunto do comentário Char"/>
    <w:basedOn w:val="TextodecomentrioChar"/>
    <w:link w:val="Assuntodocomentrio"/>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rPr>
      <w:lang w:eastAsia="ar-SA"/>
    </w:rPr>
  </w:style>
  <w:style w:type="paragraph" w:customStyle="1" w:styleId="Default0">
    <w:name w:val="Default"/>
    <w:rsid w:val="00D55742"/>
    <w:pPr>
      <w:autoSpaceDE w:val="0"/>
      <w:autoSpaceDN w:val="0"/>
      <w:adjustRightInd w:val="0"/>
    </w:pPr>
    <w:rPr>
      <w:rFonts w:ascii="Arial" w:hAnsi="Arial" w:cs="Arial"/>
      <w:color w:val="000000"/>
    </w:rPr>
  </w:style>
  <w:style w:type="character" w:styleId="CitaoHTML">
    <w:name w:val="HTML Cite"/>
    <w:basedOn w:val="Fontepargpadro"/>
    <w:uiPriority w:val="99"/>
    <w:semiHidden/>
    <w:unhideWhenUsed/>
    <w:rsid w:val="00C96DC8"/>
    <w:rPr>
      <w:i/>
      <w:iCs/>
    </w:rPr>
  </w:style>
  <w:style w:type="character" w:styleId="HiperlinkVisitado">
    <w:name w:val="FollowedHyperlink"/>
    <w:basedOn w:val="Fontepargpadro"/>
    <w:uiPriority w:val="99"/>
    <w:semiHidden/>
    <w:unhideWhenUsed/>
    <w:rsid w:val="00247CC8"/>
    <w:rPr>
      <w:color w:val="954F72" w:themeColor="followedHyperlink"/>
      <w:u w:val="single"/>
    </w:rPr>
  </w:style>
  <w:style w:type="character" w:customStyle="1" w:styleId="Refdecomentrio5">
    <w:name w:val="Ref. de comentário5"/>
    <w:rsid w:val="00451DA9"/>
    <w:rPr>
      <w:sz w:val="16"/>
      <w:szCs w:val="16"/>
    </w:rPr>
  </w:style>
  <w:style w:type="character" w:styleId="nfaseSutil">
    <w:name w:val="Subtle Emphasis"/>
    <w:basedOn w:val="Fontepargpadro"/>
    <w:uiPriority w:val="19"/>
    <w:qFormat/>
    <w:rsid w:val="00BC6B30"/>
    <w:rPr>
      <w:i/>
      <w:iCs/>
      <w:color w:val="808080" w:themeColor="text1" w:themeTint="7F"/>
    </w:rPr>
  </w:style>
  <w:style w:type="character" w:customStyle="1" w:styleId="Ttulo5Char">
    <w:name w:val="Título 5 Char"/>
    <w:basedOn w:val="Fontepargpadro"/>
    <w:link w:val="Ttulo5"/>
    <w:rsid w:val="00533B3D"/>
    <w:rPr>
      <w:rFonts w:asciiTheme="majorHAnsi" w:eastAsiaTheme="majorEastAsia" w:hAnsiTheme="majorHAnsi" w:cstheme="majorBidi"/>
      <w:color w:val="1F4D78" w:themeColor="accent1" w:themeShade="7F"/>
      <w:sz w:val="24"/>
      <w:szCs w:val="24"/>
      <w:lang w:eastAsia="ar-SA"/>
    </w:rPr>
  </w:style>
  <w:style w:type="paragraph" w:styleId="Corpodetexto">
    <w:name w:val="Body Text"/>
    <w:basedOn w:val="Normal"/>
    <w:link w:val="CorpodetextoChar"/>
    <w:uiPriority w:val="1"/>
    <w:unhideWhenUsed/>
    <w:qFormat/>
    <w:rsid w:val="00533B3D"/>
    <w:pPr>
      <w:spacing w:after="120"/>
    </w:pPr>
  </w:style>
  <w:style w:type="character" w:customStyle="1" w:styleId="CorpodetextoChar">
    <w:name w:val="Corpo de texto Char"/>
    <w:basedOn w:val="Fontepargpadro"/>
    <w:link w:val="Corpodetexto"/>
    <w:uiPriority w:val="1"/>
    <w:rsid w:val="00533B3D"/>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nhideWhenUsed/>
    <w:rsid w:val="00533B3D"/>
    <w:pPr>
      <w:spacing w:after="120"/>
      <w:ind w:left="283"/>
    </w:pPr>
  </w:style>
  <w:style w:type="character" w:customStyle="1" w:styleId="RecuodecorpodetextoChar">
    <w:name w:val="Recuo de corpo de texto Char"/>
    <w:basedOn w:val="Fontepargpadro"/>
    <w:link w:val="Recuodecorpodetexto"/>
    <w:rsid w:val="00533B3D"/>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rsid w:val="00BB23A1"/>
    <w:rPr>
      <w:rFonts w:ascii="Times New Roman" w:eastAsia="Times New Roman" w:hAnsi="Times New Roman" w:cs="Times New Roman"/>
      <w:b/>
      <w:szCs w:val="20"/>
      <w:lang w:eastAsia="ar-SA"/>
    </w:rPr>
  </w:style>
  <w:style w:type="character" w:customStyle="1" w:styleId="Ttulo9Char">
    <w:name w:val="Título 9 Char"/>
    <w:basedOn w:val="Fontepargpadro"/>
    <w:link w:val="Ttulo9"/>
    <w:rsid w:val="00BB23A1"/>
    <w:rPr>
      <w:rFonts w:ascii="Arial" w:eastAsia="Times New Roman" w:hAnsi="Arial" w:cs="Arial"/>
      <w:lang w:eastAsia="ar-SA"/>
    </w:rPr>
  </w:style>
  <w:style w:type="character" w:customStyle="1" w:styleId="Absatz-Standardschriftart">
    <w:name w:val="Absatz-Standardschriftart"/>
    <w:rsid w:val="00BB23A1"/>
  </w:style>
  <w:style w:type="character" w:customStyle="1" w:styleId="Fontepargpadro4">
    <w:name w:val="Fonte parág. padrão4"/>
    <w:rsid w:val="00BB23A1"/>
  </w:style>
  <w:style w:type="character" w:customStyle="1" w:styleId="Fontepargpadro3">
    <w:name w:val="Fonte parág. padrão3"/>
    <w:rsid w:val="00BB23A1"/>
  </w:style>
  <w:style w:type="character" w:customStyle="1" w:styleId="WW8Num3z0">
    <w:name w:val="WW8Num3z0"/>
    <w:rsid w:val="00BB23A1"/>
    <w:rPr>
      <w:color w:val="auto"/>
    </w:rPr>
  </w:style>
  <w:style w:type="character" w:customStyle="1" w:styleId="Fontepargpadro2">
    <w:name w:val="Fonte parág. padrão2"/>
    <w:rsid w:val="00BB23A1"/>
  </w:style>
  <w:style w:type="character" w:customStyle="1" w:styleId="WW-Absatz-Standardschriftart">
    <w:name w:val="WW-Absatz-Standardschriftart"/>
    <w:rsid w:val="00BB23A1"/>
  </w:style>
  <w:style w:type="character" w:customStyle="1" w:styleId="WW8Num1z0">
    <w:name w:val="WW8Num1z0"/>
    <w:rsid w:val="00BB23A1"/>
    <w:rPr>
      <w:b/>
    </w:rPr>
  </w:style>
  <w:style w:type="character" w:customStyle="1" w:styleId="Fontepargpadro1">
    <w:name w:val="Fonte parág. padrão1"/>
    <w:rsid w:val="00BB23A1"/>
  </w:style>
  <w:style w:type="character" w:styleId="Nmerodepgina">
    <w:name w:val="page number"/>
    <w:basedOn w:val="Fontepargpadro1"/>
    <w:rsid w:val="00BB23A1"/>
  </w:style>
  <w:style w:type="character" w:customStyle="1" w:styleId="Smbolosdenumerao">
    <w:name w:val="Símbolos de numeração"/>
    <w:rsid w:val="00BB23A1"/>
  </w:style>
  <w:style w:type="paragraph" w:customStyle="1" w:styleId="Ttulo40">
    <w:name w:val="Título4"/>
    <w:basedOn w:val="Normal"/>
    <w:next w:val="Corpodetexto"/>
    <w:rsid w:val="00BB23A1"/>
    <w:pPr>
      <w:keepNext/>
      <w:spacing w:before="240" w:after="120"/>
    </w:pPr>
    <w:rPr>
      <w:rFonts w:ascii="Arial" w:eastAsia="MS Mincho" w:hAnsi="Arial" w:cs="Tahoma"/>
      <w:sz w:val="28"/>
      <w:szCs w:val="28"/>
    </w:rPr>
  </w:style>
  <w:style w:type="paragraph" w:styleId="Lista">
    <w:name w:val="List"/>
    <w:basedOn w:val="Corpodetexto"/>
    <w:rsid w:val="00BB23A1"/>
    <w:pPr>
      <w:spacing w:after="0"/>
      <w:jc w:val="both"/>
    </w:pPr>
    <w:rPr>
      <w:rFonts w:ascii="Arial" w:hAnsi="Arial" w:cs="Tahoma"/>
      <w:color w:val="000000"/>
      <w:szCs w:val="20"/>
    </w:rPr>
  </w:style>
  <w:style w:type="paragraph" w:customStyle="1" w:styleId="Legenda4">
    <w:name w:val="Legenda4"/>
    <w:basedOn w:val="Normal"/>
    <w:rsid w:val="00BB23A1"/>
    <w:pPr>
      <w:suppressLineNumbers/>
      <w:spacing w:before="120" w:after="120"/>
    </w:pPr>
    <w:rPr>
      <w:rFonts w:cs="Tahoma"/>
      <w:i/>
      <w:iCs/>
    </w:rPr>
  </w:style>
  <w:style w:type="paragraph" w:customStyle="1" w:styleId="ndice">
    <w:name w:val="Índice"/>
    <w:basedOn w:val="Normal"/>
    <w:rsid w:val="00BB23A1"/>
    <w:pPr>
      <w:suppressLineNumbers/>
    </w:pPr>
    <w:rPr>
      <w:rFonts w:cs="Tahoma"/>
      <w:sz w:val="20"/>
      <w:szCs w:val="20"/>
    </w:rPr>
  </w:style>
  <w:style w:type="paragraph" w:customStyle="1" w:styleId="Ttulo10">
    <w:name w:val="Título1"/>
    <w:basedOn w:val="Normal"/>
    <w:next w:val="Corpodetexto"/>
    <w:rsid w:val="00BB23A1"/>
    <w:pPr>
      <w:keepNext/>
      <w:spacing w:before="240" w:after="120"/>
    </w:pPr>
    <w:rPr>
      <w:rFonts w:ascii="Arial" w:eastAsia="MS Mincho" w:hAnsi="Arial" w:cs="Tahoma"/>
      <w:sz w:val="28"/>
      <w:szCs w:val="28"/>
    </w:rPr>
  </w:style>
  <w:style w:type="paragraph" w:customStyle="1" w:styleId="Ttulo30">
    <w:name w:val="Título3"/>
    <w:basedOn w:val="Normal"/>
    <w:next w:val="Corpodetexto"/>
    <w:rsid w:val="00BB23A1"/>
    <w:pPr>
      <w:keepNext/>
      <w:spacing w:before="240" w:after="120"/>
    </w:pPr>
    <w:rPr>
      <w:rFonts w:ascii="Arial" w:eastAsia="MS Mincho" w:hAnsi="Arial" w:cs="Tahoma"/>
      <w:sz w:val="28"/>
      <w:szCs w:val="28"/>
    </w:rPr>
  </w:style>
  <w:style w:type="paragraph" w:customStyle="1" w:styleId="Legenda3">
    <w:name w:val="Legenda3"/>
    <w:basedOn w:val="Normal"/>
    <w:rsid w:val="00BB23A1"/>
    <w:pPr>
      <w:suppressLineNumbers/>
      <w:spacing w:before="120" w:after="120"/>
    </w:pPr>
    <w:rPr>
      <w:rFonts w:cs="Tahoma"/>
      <w:i/>
      <w:iCs/>
    </w:rPr>
  </w:style>
  <w:style w:type="paragraph" w:customStyle="1" w:styleId="Ttulo20">
    <w:name w:val="Título2"/>
    <w:basedOn w:val="Normal"/>
    <w:next w:val="Corpodetexto"/>
    <w:rsid w:val="00BB23A1"/>
    <w:pPr>
      <w:keepNext/>
      <w:spacing w:before="240" w:after="120"/>
    </w:pPr>
    <w:rPr>
      <w:rFonts w:ascii="Arial" w:eastAsia="MS Mincho" w:hAnsi="Arial" w:cs="Tahoma"/>
      <w:sz w:val="28"/>
      <w:szCs w:val="28"/>
    </w:rPr>
  </w:style>
  <w:style w:type="paragraph" w:customStyle="1" w:styleId="Legenda2">
    <w:name w:val="Legenda2"/>
    <w:basedOn w:val="Normal"/>
    <w:rsid w:val="00BB23A1"/>
    <w:pPr>
      <w:suppressLineNumbers/>
      <w:spacing w:before="120" w:after="120"/>
    </w:pPr>
    <w:rPr>
      <w:rFonts w:cs="Tahoma"/>
      <w:i/>
      <w:iCs/>
    </w:rPr>
  </w:style>
  <w:style w:type="paragraph" w:customStyle="1" w:styleId="Legenda1">
    <w:name w:val="Legenda1"/>
    <w:basedOn w:val="Normal"/>
    <w:rsid w:val="00BB23A1"/>
    <w:pPr>
      <w:suppressLineNumbers/>
      <w:spacing w:before="120" w:after="120"/>
    </w:pPr>
    <w:rPr>
      <w:rFonts w:cs="Tahoma"/>
      <w:i/>
      <w:iCs/>
    </w:rPr>
  </w:style>
  <w:style w:type="paragraph" w:customStyle="1" w:styleId="Contedodetabela">
    <w:name w:val="Conteúdo de tabela"/>
    <w:basedOn w:val="Normal"/>
    <w:rsid w:val="00BB23A1"/>
    <w:pPr>
      <w:suppressLineNumbers/>
    </w:pPr>
    <w:rPr>
      <w:sz w:val="20"/>
      <w:szCs w:val="20"/>
    </w:rPr>
  </w:style>
  <w:style w:type="paragraph" w:customStyle="1" w:styleId="Ttulodetabela">
    <w:name w:val="Título de tabela"/>
    <w:basedOn w:val="Contedodetabela"/>
    <w:rsid w:val="00BB23A1"/>
    <w:pPr>
      <w:jc w:val="center"/>
    </w:pPr>
    <w:rPr>
      <w:b/>
      <w:bCs/>
    </w:rPr>
  </w:style>
  <w:style w:type="paragraph" w:customStyle="1" w:styleId="Contedodequadro">
    <w:name w:val="Conteúdo de quadro"/>
    <w:basedOn w:val="Corpodetexto"/>
    <w:rsid w:val="00BB23A1"/>
    <w:pPr>
      <w:spacing w:after="0"/>
      <w:jc w:val="both"/>
    </w:pPr>
    <w:rPr>
      <w:rFonts w:ascii="Arial" w:hAnsi="Arial"/>
      <w:color w:val="000000"/>
      <w:szCs w:val="20"/>
    </w:rPr>
  </w:style>
  <w:style w:type="paragraph" w:customStyle="1" w:styleId="WW-TextoPr-formatado">
    <w:name w:val="WW-Texto Pré-formatado"/>
    <w:basedOn w:val="Normal"/>
    <w:rsid w:val="00BB23A1"/>
    <w:pPr>
      <w:widowControl w:val="0"/>
    </w:pPr>
    <w:rPr>
      <w:rFonts w:ascii="Courier New" w:eastAsia="Courier New" w:hAnsi="Courier New"/>
      <w:sz w:val="20"/>
      <w:szCs w:val="20"/>
    </w:rPr>
  </w:style>
  <w:style w:type="paragraph" w:styleId="NormalWeb">
    <w:name w:val="Normal (Web)"/>
    <w:basedOn w:val="Normal"/>
    <w:uiPriority w:val="99"/>
    <w:rsid w:val="00BB23A1"/>
    <w:pPr>
      <w:suppressAutoHyphens w:val="0"/>
      <w:spacing w:before="280" w:after="119"/>
    </w:pPr>
  </w:style>
  <w:style w:type="paragraph" w:customStyle="1" w:styleId="western">
    <w:name w:val="western"/>
    <w:basedOn w:val="Normal"/>
    <w:rsid w:val="00BB23A1"/>
    <w:pPr>
      <w:suppressAutoHyphens w:val="0"/>
      <w:spacing w:before="280" w:after="119"/>
    </w:pPr>
  </w:style>
  <w:style w:type="paragraph" w:customStyle="1" w:styleId="ww-textopr-formatado0">
    <w:name w:val="ww-textopr-formatado"/>
    <w:basedOn w:val="Normal"/>
    <w:rsid w:val="00BB23A1"/>
    <w:pPr>
      <w:suppressAutoHyphens w:val="0"/>
    </w:pPr>
    <w:rPr>
      <w:rFonts w:eastAsia="Calibri"/>
    </w:rPr>
  </w:style>
  <w:style w:type="paragraph" w:customStyle="1" w:styleId="Estilo1">
    <w:name w:val="Estilo1"/>
    <w:basedOn w:val="Normal"/>
    <w:rsid w:val="00BB23A1"/>
    <w:pPr>
      <w:jc w:val="both"/>
    </w:pPr>
    <w:rPr>
      <w:rFonts w:ascii="Arial" w:hAnsi="Arial" w:cs="Arial"/>
      <w:b/>
      <w:color w:val="000000"/>
      <w:sz w:val="20"/>
      <w:szCs w:val="20"/>
    </w:rPr>
  </w:style>
  <w:style w:type="paragraph" w:customStyle="1" w:styleId="Estilo2">
    <w:name w:val="Estilo2"/>
    <w:basedOn w:val="Corpodetexto"/>
    <w:rsid w:val="00BB23A1"/>
    <w:pPr>
      <w:spacing w:after="0"/>
      <w:jc w:val="both"/>
    </w:pPr>
    <w:rPr>
      <w:rFonts w:ascii="Arial" w:hAnsi="Arial"/>
      <w:color w:val="000000"/>
    </w:rPr>
  </w:style>
  <w:style w:type="character" w:customStyle="1" w:styleId="verbetecep">
    <w:name w:val="verbetecep"/>
    <w:basedOn w:val="Fontepargpadro"/>
    <w:rsid w:val="00BB23A1"/>
  </w:style>
  <w:style w:type="paragraph" w:customStyle="1" w:styleId="GradeMdia1-nfase21">
    <w:name w:val="Grade Média 1 - Ênfase 21"/>
    <w:basedOn w:val="Normal"/>
    <w:link w:val="MediumGrid1-Accent2Char"/>
    <w:uiPriority w:val="34"/>
    <w:qFormat/>
    <w:rsid w:val="00BB23A1"/>
    <w:pPr>
      <w:ind w:left="720"/>
      <w:contextualSpacing/>
    </w:pPr>
    <w:rPr>
      <w:sz w:val="20"/>
      <w:szCs w:val="20"/>
    </w:rPr>
  </w:style>
  <w:style w:type="character" w:styleId="Forte">
    <w:name w:val="Strong"/>
    <w:uiPriority w:val="22"/>
    <w:qFormat/>
    <w:rsid w:val="00BB23A1"/>
    <w:rPr>
      <w:b/>
      <w:bCs/>
    </w:rPr>
  </w:style>
  <w:style w:type="character" w:customStyle="1" w:styleId="MediumGrid1-Accent2Char">
    <w:name w:val="Medium Grid 1 - Accent 2 Char"/>
    <w:link w:val="GradeMdia1-nfase21"/>
    <w:uiPriority w:val="34"/>
    <w:rsid w:val="00BB23A1"/>
    <w:rPr>
      <w:rFonts w:ascii="Times New Roman" w:eastAsia="Times New Roman" w:hAnsi="Times New Roman" w:cs="Times New Roman"/>
      <w:sz w:val="20"/>
      <w:szCs w:val="20"/>
      <w:lang w:eastAsia="ar-SA"/>
    </w:rPr>
  </w:style>
  <w:style w:type="paragraph" w:customStyle="1" w:styleId="artigo">
    <w:name w:val="artigo"/>
    <w:basedOn w:val="Normal"/>
    <w:rsid w:val="00BB23A1"/>
    <w:pPr>
      <w:suppressAutoHyphens w:val="0"/>
      <w:spacing w:before="100" w:beforeAutospacing="1" w:after="100" w:afterAutospacing="1"/>
    </w:pPr>
    <w:rPr>
      <w:lang w:eastAsia="pt-BR"/>
    </w:rPr>
  </w:style>
  <w:style w:type="paragraph" w:customStyle="1" w:styleId="m-7543479504253185772gmail-padro">
    <w:name w:val="m_-7543479504253185772gmail-padro"/>
    <w:basedOn w:val="Normal"/>
    <w:rsid w:val="00BB23A1"/>
    <w:pPr>
      <w:suppressAutoHyphens w:val="0"/>
      <w:spacing w:before="100" w:beforeAutospacing="1" w:after="100" w:afterAutospacing="1"/>
    </w:pPr>
    <w:rPr>
      <w:lang w:eastAsia="pt-BR"/>
    </w:rPr>
  </w:style>
  <w:style w:type="paragraph" w:customStyle="1" w:styleId="Artigo0">
    <w:name w:val="Artigo"/>
    <w:basedOn w:val="Normal"/>
    <w:qFormat/>
    <w:rsid w:val="00BB23A1"/>
    <w:pPr>
      <w:overflowPunct w:val="0"/>
      <w:autoSpaceDE w:val="0"/>
      <w:spacing w:before="120" w:after="120"/>
      <w:ind w:firstLine="567"/>
      <w:jc w:val="both"/>
    </w:pPr>
    <w:rPr>
      <w:szCs w:val="20"/>
      <w:lang w:eastAsia="zh-CN"/>
    </w:rPr>
  </w:style>
  <w:style w:type="paragraph" w:styleId="SemEspaamento">
    <w:name w:val="No Spacing"/>
    <w:uiPriority w:val="1"/>
    <w:qFormat/>
    <w:rsid w:val="00BB23A1"/>
    <w:pPr>
      <w:spacing w:line="360" w:lineRule="auto"/>
      <w:ind w:firstLine="708"/>
      <w:jc w:val="both"/>
    </w:pPr>
    <w:rPr>
      <w:rFonts w:asciiTheme="majorHAnsi" w:eastAsiaTheme="minorEastAsia" w:hAnsiTheme="majorHAnsi"/>
      <w:shd w:val="clear" w:color="auto" w:fill="FFFFFF"/>
    </w:rPr>
  </w:style>
  <w:style w:type="paragraph" w:customStyle="1" w:styleId="Ttulo11">
    <w:name w:val="Título 11"/>
    <w:basedOn w:val="Normal"/>
    <w:uiPriority w:val="1"/>
    <w:qFormat/>
    <w:rsid w:val="00B4659C"/>
    <w:pPr>
      <w:widowControl w:val="0"/>
      <w:suppressAutoHyphens w:val="0"/>
      <w:autoSpaceDE w:val="0"/>
      <w:autoSpaceDN w:val="0"/>
      <w:ind w:left="832"/>
      <w:outlineLvl w:val="1"/>
    </w:pPr>
    <w:rPr>
      <w:rFonts w:ascii="Arial" w:eastAsia="Arial" w:hAnsi="Arial" w:cs="Arial"/>
      <w:b/>
      <w:bCs/>
      <w:sz w:val="14"/>
      <w:szCs w:val="14"/>
      <w:lang w:val="pt-PT" w:eastAsia="en-US"/>
    </w:rPr>
  </w:style>
  <w:style w:type="paragraph" w:customStyle="1" w:styleId="TableParagraph">
    <w:name w:val="Table Paragraph"/>
    <w:basedOn w:val="Normal"/>
    <w:uiPriority w:val="1"/>
    <w:qFormat/>
    <w:rsid w:val="003E6E41"/>
    <w:pPr>
      <w:widowControl w:val="0"/>
      <w:suppressAutoHyphens w:val="0"/>
      <w:autoSpaceDE w:val="0"/>
      <w:autoSpaceDN w:val="0"/>
    </w:pPr>
    <w:rPr>
      <w:rFonts w:ascii="Arial MT" w:eastAsia="Arial MT" w:hAnsi="Arial MT" w:cs="Arial MT"/>
      <w:sz w:val="22"/>
      <w:szCs w:val="22"/>
      <w:lang w:val="pt-PT" w:eastAsia="en-US"/>
    </w:rPr>
  </w:style>
  <w:style w:type="character" w:customStyle="1" w:styleId="MenoPendente1">
    <w:name w:val="Menção Pendente1"/>
    <w:basedOn w:val="Fontepargpadro"/>
    <w:uiPriority w:val="99"/>
    <w:semiHidden/>
    <w:unhideWhenUsed/>
    <w:rsid w:val="005E17BA"/>
    <w:rPr>
      <w:color w:val="605E5C"/>
      <w:shd w:val="clear" w:color="auto" w:fill="E1DFDD"/>
    </w:rPr>
  </w:style>
  <w:style w:type="character" w:customStyle="1" w:styleId="MenoPendente2">
    <w:name w:val="Menção Pendente2"/>
    <w:basedOn w:val="Fontepargpadro"/>
    <w:uiPriority w:val="99"/>
    <w:semiHidden/>
    <w:unhideWhenUsed/>
    <w:rsid w:val="002E26D1"/>
    <w:rPr>
      <w:color w:val="605E5C"/>
      <w:shd w:val="clear" w:color="auto" w:fill="E1DFDD"/>
    </w:rPr>
  </w:style>
  <w:style w:type="table" w:customStyle="1" w:styleId="TableGrid">
    <w:name w:val="TableGrid"/>
    <w:rsid w:val="00CB037E"/>
    <w:rPr>
      <w:rFonts w:eastAsiaTheme="minorEastAsia"/>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0A0461"/>
    <w:rPr>
      <w:sz w:val="20"/>
      <w:szCs w:val="20"/>
    </w:rPr>
  </w:style>
  <w:style w:type="character" w:customStyle="1" w:styleId="TextodenotaderodapChar">
    <w:name w:val="Texto de nota de rodapé Char"/>
    <w:basedOn w:val="Fontepargpadro"/>
    <w:link w:val="Textodenotaderodap"/>
    <w:uiPriority w:val="99"/>
    <w:semiHidden/>
    <w:rsid w:val="000A0461"/>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0A0461"/>
    <w:rPr>
      <w:vertAlign w:val="superscript"/>
    </w:rPr>
  </w:style>
  <w:style w:type="paragraph" w:styleId="Sumrio1">
    <w:name w:val="toc 1"/>
    <w:basedOn w:val="Normal"/>
    <w:autoRedefine/>
    <w:uiPriority w:val="1"/>
    <w:semiHidden/>
    <w:unhideWhenUsed/>
    <w:qFormat/>
    <w:rsid w:val="004F316C"/>
    <w:pPr>
      <w:widowControl w:val="0"/>
      <w:suppressAutoHyphens w:val="0"/>
      <w:autoSpaceDE w:val="0"/>
      <w:autoSpaceDN w:val="0"/>
      <w:spacing w:before="677"/>
      <w:ind w:left="1021" w:hanging="265"/>
    </w:pPr>
    <w:rPr>
      <w:rFonts w:ascii="Comic Sans MS" w:eastAsia="Comic Sans MS" w:hAnsi="Comic Sans MS" w:cs="Comic Sans MS"/>
      <w:b/>
      <w:bCs/>
      <w:lang w:val="pt-PT" w:eastAsia="en-US"/>
    </w:rPr>
  </w:style>
  <w:style w:type="paragraph" w:styleId="Sumrio2">
    <w:name w:val="toc 2"/>
    <w:basedOn w:val="Normal"/>
    <w:autoRedefine/>
    <w:uiPriority w:val="1"/>
    <w:semiHidden/>
    <w:unhideWhenUsed/>
    <w:qFormat/>
    <w:rsid w:val="004F316C"/>
    <w:pPr>
      <w:widowControl w:val="0"/>
      <w:suppressAutoHyphens w:val="0"/>
      <w:autoSpaceDE w:val="0"/>
      <w:autoSpaceDN w:val="0"/>
      <w:spacing w:line="334" w:lineRule="exact"/>
      <w:ind w:left="1032" w:hanging="252"/>
    </w:pPr>
    <w:rPr>
      <w:rFonts w:ascii="Comic Sans MS" w:eastAsia="Comic Sans MS" w:hAnsi="Comic Sans MS" w:cs="Comic Sans MS"/>
      <w:b/>
      <w:bCs/>
      <w:lang w:val="pt-PT" w:eastAsia="en-US"/>
    </w:rPr>
  </w:style>
  <w:style w:type="character" w:customStyle="1" w:styleId="TtuloChar">
    <w:name w:val="Título Char"/>
    <w:basedOn w:val="Fontepargpadro"/>
    <w:link w:val="Ttulo"/>
    <w:uiPriority w:val="1"/>
    <w:rsid w:val="004F316C"/>
    <w:rPr>
      <w:rFonts w:ascii="Comic Sans MS" w:eastAsia="Comic Sans MS" w:hAnsi="Comic Sans MS" w:cs="Comic Sans MS"/>
      <w:b/>
      <w:bCs/>
      <w:sz w:val="28"/>
      <w:szCs w:val="28"/>
      <w:lang w:val="pt-PT"/>
    </w:rPr>
  </w:style>
  <w:style w:type="table" w:customStyle="1" w:styleId="TableNormal0">
    <w:name w:val="Table Normal"/>
    <w:uiPriority w:val="2"/>
    <w:semiHidden/>
    <w:qFormat/>
    <w:rsid w:val="004F316C"/>
    <w:pPr>
      <w:widowControl w:val="0"/>
      <w:autoSpaceDE w:val="0"/>
      <w:autoSpaceDN w:val="0"/>
    </w:pPr>
    <w:rPr>
      <w:lang w:val="en-US"/>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08" w:type="dxa"/>
        <w:bottom w:w="100"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transferencias.sc.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mifPxOkvxu75wywNLN+0RTENQ==">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6531</Words>
  <Characters>35270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Carlos Cesario Pereira</dc:creator>
  <cp:lastModifiedBy>Luiza Domiciano</cp:lastModifiedBy>
  <cp:revision>2</cp:revision>
  <dcterms:created xsi:type="dcterms:W3CDTF">2025-05-15T20:38:00Z</dcterms:created>
  <dcterms:modified xsi:type="dcterms:W3CDTF">2025-05-15T20:38:00Z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4b6be890f4c5a2de0497b558c6c591967d31381de04374f7f09f082e11aad7d0</vt:lpwstr>
  </property>
</Properties>
</file>