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00" w:firstLine="0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ANEXO XII</w:t>
      </w:r>
    </w:p>
    <w:p w:rsidR="00000000" w:rsidDel="00000000" w:rsidP="00000000" w:rsidRDefault="00000000" w:rsidRPr="00000000" w14:paraId="00000002">
      <w:pPr>
        <w:ind w:left="10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javf2imz0jep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CHECKLIST - DOCUMENTOS PARA CADASTRO DE PROPONENTE - NÚCLEO DE GESTÃO DE CONVÊNIOS</w:t>
      </w:r>
    </w:p>
    <w:p w:rsidR="00000000" w:rsidDel="00000000" w:rsidP="00000000" w:rsidRDefault="00000000" w:rsidRPr="00000000" w14:paraId="00000003">
      <w:pPr>
        <w:ind w:left="10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page" w:horzAnchor="margin" w:tblpXSpec="center" w:tblpY="345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0"/>
        <w:gridCol w:w="6765"/>
        <w:gridCol w:w="975"/>
        <w:gridCol w:w="1260"/>
        <w:tblGridChange w:id="0">
          <w:tblGrid>
            <w:gridCol w:w="570"/>
            <w:gridCol w:w="6765"/>
            <w:gridCol w:w="975"/>
            <w:gridCol w:w="1260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27" w:lineRule="auto"/>
              <w:ind w:left="1876" w:right="1126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DOCUMENTOS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6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  <w:rtl w:val="0"/>
              </w:rPr>
              <w:t xml:space="preserve">S/N/NA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7">
            <w:pPr>
              <w:widowControl w:val="0"/>
              <w:spacing w:after="120" w:before="12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  <w:rtl w:val="0"/>
              </w:rPr>
              <w:t xml:space="preserve">FLS.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left="10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Documento de identidade e comprovante de inscrição no Cadastro de Pessoa Física (CPF) dos dirigentes.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  <w:rtl w:val="0"/>
              </w:rPr>
              <w:t xml:space="preserve">(Art. 9º, inciso I do Decreto nº 733/2024)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Termo de posse, ato de nomeação ou de eleição, ou instrumento equivalente.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  <w:rtl w:val="0"/>
              </w:rPr>
              <w:t xml:space="preserve">(Art. 9º, inciso III do Decreto nº 733/2024)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No caso de município, também deverá ser apresentada declaração quanto à manutenção de programas destinados à detecção, identificação e tratamento da subnutrição infantil, nos casos em que o convênio se referir às áreas da saúde, da educação ou da assistência social, conforme o disposto na Lei nº 10.867, de 7 de agosto de 1998.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  <w:rtl w:val="0"/>
              </w:rPr>
              <w:t xml:space="preserve">(Parágrafo único, Art. 9º do Decreto nº 733/2024)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Comprovante de residência atualizado dos dirigentes.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highlight w:val="white"/>
                <w:rtl w:val="0"/>
              </w:rPr>
              <w:t xml:space="preserve">(Art. 9º, inciso II do Decreto nº 733/2024)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  <w:rtl w:val="0"/>
              </w:rPr>
              <w:t xml:space="preserve">TIPO DE PROPONENTE CONSÓRCIO PÚBLICO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A">
            <w:pPr>
              <w:widowControl w:val="0"/>
              <w:spacing w:after="120" w:before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  <w:rtl w:val="0"/>
              </w:rPr>
              <w:t xml:space="preserve">S/N/NA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B">
            <w:pPr>
              <w:widowControl w:val="0"/>
              <w:spacing w:after="120" w:before="12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efefef" w:val="clear"/>
                <w:rtl w:val="0"/>
              </w:rPr>
              <w:t xml:space="preserve">FLS.</w:t>
            </w:r>
          </w:p>
        </w:tc>
      </w:tr>
      <w:tr>
        <w:trPr>
          <w:cantSplit w:val="0"/>
          <w:trHeight w:val="1899" w:hRule="atLeast"/>
          <w:tblHeader w:val="0"/>
        </w:trPr>
        <w:tc>
          <w:tcPr>
            <w:tcBorders>
              <w:top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right="100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Publicação da lei de ratificação do protocolo de intenções;</w:t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(1° A ratificação realizada após 2 (dois) anos da subscrição do protocolo de intenções dependerá de homologação da assembleia geral do consórcio público.)</w:t>
              <w:br w:type="textWrapping"/>
              <w:t xml:space="preserve"> (2° Fica dispensado da ratificação de que trata o inciso I do caput deste artigo o ente da federação que, antes de subscrever o protocolo de intenções, disciplinar por lei a sua participação no consórcio público) (Art. 10º, inciso I parágrafo 1 e 2 do Decreto nº 733/2024)</w:t>
            </w:r>
          </w:p>
        </w:tc>
        <w:tc>
          <w:tcPr>
            <w:tcBorders>
              <w:top w:color="000000" w:space="0" w:sz="8" w:val="single"/>
              <w:lef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right="100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 do contrato de consórcio público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 (Art. 10 do Decreto nº 733/2024)</w:t>
            </w:r>
          </w:p>
        </w:tc>
        <w:tc>
          <w:tcPr>
            <w:tcBorders>
              <w:lef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160" w:righ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right="100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Estatuto aprovado, atualizado e acompanhado de eventuais alterações registrados no cartório competente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 (Art. 10 do Decreto nº 733/2024)</w:t>
            </w:r>
          </w:p>
        </w:tc>
        <w:tc>
          <w:tcPr>
            <w:tcBorders>
              <w:lef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4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Anotações: 1)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s documentos cadastrais deverão ser apresentados ao Núcleo de Gestão de Convênios de abrangência do Município, conforme Edital de Chamamento Público nº 002/2025.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2)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o proponente deverá manter atualizadas as informações e os documentos constantes no cadastro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u w:val="single"/>
                <w:rtl w:val="0"/>
              </w:rPr>
              <w:t xml:space="preserve">até o termo final da execução da parceria celebrada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, devendo comunicar especialmente as alterações em seus atos societários e em seu quadro de dirigentes.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3)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No caso de Novo Prefeito/representante (necessária atualização na Receita Federal antes de enviar documentos.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4)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Prefeito/representante reeleito – já consta no Cadastro Único a Cópia do RG/CPF, não havendo necessidade de reenviar.</w:t>
            </w:r>
          </w:p>
        </w:tc>
      </w:tr>
    </w:tbl>
    <w:p w:rsidR="00000000" w:rsidDel="00000000" w:rsidP="00000000" w:rsidRDefault="00000000" w:rsidRPr="00000000" w14:paraId="0000002D">
      <w:pPr>
        <w:ind w:left="10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Checklist de documentos para cadastro de proponente - ENVIAR AO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NGC 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ind w:right="12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-567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OBSERVAÇÃO: Além dos documentos listados no checklist acima, enviar: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-567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1) Ofício (assinado pelo Prefeito/representante) visando: a) encaminhamento dos documentos para a atualização do cadastro; b) informar os usuários do Sistema SIGEF - em caso de novos, informar nome completo, função, número RG/CPF, e-mail e telefone) - em caso de permanecer os usuários já cadastrados, manifestar o interesse; c) telefone e e-mail do Prefeito/Representante.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right="12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right="-29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Fúlvio Aducci, 767, Estreito, Florianópolis – SC – CEP: 88.075-001</w:t>
    </w:r>
  </w:p>
  <w:p w:rsidR="00000000" w:rsidDel="00000000" w:rsidP="00000000" w:rsidRDefault="00000000" w:rsidRPr="00000000" w14:paraId="0000003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(48) 3664-0610 - E-mail: cedca@sas.sc.gov.br</w:t>
    </w:r>
  </w:p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566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161925</wp:posOffset>
          </wp:positionV>
          <wp:extent cx="637222" cy="733242"/>
          <wp:effectExtent b="0" l="0" r="0" t="0"/>
          <wp:wrapSquare wrapText="bothSides" distB="114300" distT="114300" distL="114300" distR="114300"/>
          <wp:docPr id="1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222" cy="7332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566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700" w:hanging="57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ESTADO DE SANTA CATARINA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700" w:hanging="57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ESTADO DA ASSISTÊNCIA SOCIAL, MULHER E FAMÍLIA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700" w:hanging="57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CONSELHO ESTADUAL DOS DIREITOS DA CRIANÇA E DO ADOLESCENTE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700" w:hanging="57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700" w:hanging="57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EF345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F345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F3459"/>
  </w:style>
  <w:style w:type="paragraph" w:styleId="Rodap">
    <w:name w:val="footer"/>
    <w:basedOn w:val="Normal"/>
    <w:link w:val="RodapChar"/>
    <w:uiPriority w:val="99"/>
    <w:unhideWhenUsed w:val="1"/>
    <w:rsid w:val="00EF345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345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huNuAcDy45PHIlkzq2RZMytww==">CgMxLjAyDmguamF2ZjJpbXowamVwOAByITFuVHRWb1FyVzB0M0hCaVlZVlljdDEyRGQ3UXFTY3FhMw==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2025-04-22T15:57:00Z</dcterms:created>
  <dc:creator>Luiza Domiciano</dc:creator>
</cp:coreProperties>
</file>